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59BD" w14:textId="4C896FBA" w:rsidR="00280C7E" w:rsidRDefault="00280C7E" w:rsidP="00280C7E">
      <w:pPr>
        <w:spacing w:after="0" w:line="240" w:lineRule="auto"/>
        <w:jc w:val="center"/>
        <w:rPr>
          <w:b/>
          <w:bCs/>
          <w:sz w:val="44"/>
          <w:szCs w:val="44"/>
          <w:lang w:val="en-US"/>
        </w:rPr>
      </w:pPr>
      <w:r w:rsidRPr="00280C7E">
        <w:rPr>
          <w:b/>
          <w:bCs/>
          <w:sz w:val="44"/>
          <w:szCs w:val="44"/>
          <w:lang w:val="en-US"/>
        </w:rPr>
        <w:t xml:space="preserve">Virginia Beach Transition Area </w:t>
      </w:r>
    </w:p>
    <w:p w14:paraId="567730D6" w14:textId="3FA5F1FD" w:rsidR="00280C7E" w:rsidRPr="00280C7E" w:rsidRDefault="00280C7E" w:rsidP="00280C7E">
      <w:pPr>
        <w:spacing w:after="0" w:line="240" w:lineRule="auto"/>
        <w:jc w:val="center"/>
        <w:rPr>
          <w:b/>
          <w:bCs/>
          <w:sz w:val="44"/>
          <w:szCs w:val="44"/>
          <w:lang w:val="en-US"/>
        </w:rPr>
      </w:pPr>
      <w:r w:rsidRPr="00280C7E">
        <w:rPr>
          <w:b/>
          <w:bCs/>
          <w:sz w:val="44"/>
          <w:szCs w:val="44"/>
          <w:lang w:val="en-US"/>
        </w:rPr>
        <w:t>Frequently Asked Questions (FAQ)</w:t>
      </w:r>
    </w:p>
    <w:p w14:paraId="3599694B" w14:textId="77777777" w:rsidR="00280C7E" w:rsidRPr="00280C7E" w:rsidRDefault="00280C7E" w:rsidP="00280C7E">
      <w:pPr>
        <w:spacing w:after="200" w:line="276" w:lineRule="auto"/>
        <w:jc w:val="center"/>
        <w:rPr>
          <w:sz w:val="36"/>
          <w:szCs w:val="36"/>
          <w:lang w:val="en-US"/>
        </w:rPr>
      </w:pPr>
      <w:r w:rsidRPr="00280C7E">
        <w:rPr>
          <w:b/>
          <w:bCs/>
          <w:sz w:val="36"/>
          <w:szCs w:val="36"/>
          <w:lang w:val="en-US"/>
        </w:rPr>
        <w:t>VBCCO Academy</w:t>
      </w:r>
    </w:p>
    <w:p w14:paraId="59693D22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24CCBCF9">
          <v:rect id="_x0000_i1079" style="width:468pt;height:1.5pt" o:hralign="center" o:hrstd="t" o:hr="t" fillcolor="#a0a0a0" stroked="f"/>
        </w:pict>
      </w:r>
    </w:p>
    <w:p w14:paraId="355B27DB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Q1: What form of government does Virginia Beach have?</w:t>
      </w:r>
    </w:p>
    <w:p w14:paraId="0514C29F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Virginia Beach uses the </w:t>
      </w:r>
      <w:r w:rsidRPr="00280C7E">
        <w:rPr>
          <w:b/>
          <w:bCs/>
          <w:lang w:val="en-US"/>
        </w:rPr>
        <w:t>council–manager form of government</w:t>
      </w:r>
      <w:r w:rsidRPr="00280C7E">
        <w:rPr>
          <w:lang w:val="en-US"/>
        </w:rPr>
        <w:t>. The </w:t>
      </w:r>
      <w:r w:rsidRPr="00280C7E">
        <w:rPr>
          <w:b/>
          <w:bCs/>
          <w:lang w:val="en-US"/>
        </w:rPr>
        <w:t>City Council</w:t>
      </w:r>
      <w:r w:rsidRPr="00280C7E">
        <w:rPr>
          <w:lang w:val="en-US"/>
        </w:rPr>
        <w:t>, which includes the </w:t>
      </w:r>
      <w:r w:rsidRPr="00280C7E">
        <w:rPr>
          <w:b/>
          <w:bCs/>
          <w:lang w:val="en-US"/>
        </w:rPr>
        <w:t>Mayor</w:t>
      </w:r>
      <w:r w:rsidRPr="00280C7E">
        <w:rPr>
          <w:lang w:val="en-US"/>
        </w:rPr>
        <w:t>, is responsible for setting policy. The </w:t>
      </w:r>
      <w:r w:rsidRPr="00280C7E">
        <w:rPr>
          <w:b/>
          <w:bCs/>
          <w:lang w:val="en-US"/>
        </w:rPr>
        <w:t>City Manager</w:t>
      </w:r>
      <w:r w:rsidRPr="00280C7E">
        <w:rPr>
          <w:lang w:val="en-US"/>
        </w:rPr>
        <w:t> is hired by the Council to implement those policies and manage daily city operations.</w:t>
      </w:r>
    </w:p>
    <w:p w14:paraId="087AFADF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5D7A533A">
          <v:rect id="_x0000_i1080" style="width:468pt;height:1.5pt" o:hralign="center" o:hrstd="t" o:hr="t" fillcolor="#a0a0a0" stroked="f"/>
        </w:pict>
      </w:r>
    </w:p>
    <w:p w14:paraId="70F6FDD2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Q2: Who is the District 2 City Council Member and Planning Commissioner?</w:t>
      </w:r>
    </w:p>
    <w:p w14:paraId="4E746610" w14:textId="77777777" w:rsidR="00280C7E" w:rsidRPr="00280C7E" w:rsidRDefault="00280C7E" w:rsidP="00280C7E">
      <w:pPr>
        <w:numPr>
          <w:ilvl w:val="0"/>
          <w:numId w:val="1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District 2 Council Member</w:t>
      </w:r>
      <w:r w:rsidRPr="00280C7E">
        <w:rPr>
          <w:lang w:val="en-US"/>
        </w:rPr>
        <w:t>: </w:t>
      </w:r>
      <w:r w:rsidRPr="00280C7E">
        <w:rPr>
          <w:b/>
          <w:bCs/>
          <w:lang w:val="en-US"/>
        </w:rPr>
        <w:t>Barbara Henley</w:t>
      </w:r>
      <w:r w:rsidRPr="00280C7E">
        <w:rPr>
          <w:lang w:val="en-US"/>
        </w:rPr>
        <w:t> (Term: 2023–2026)</w:t>
      </w:r>
    </w:p>
    <w:p w14:paraId="627C488E" w14:textId="77777777" w:rsidR="00280C7E" w:rsidRPr="00280C7E" w:rsidRDefault="00280C7E" w:rsidP="00280C7E">
      <w:pPr>
        <w:numPr>
          <w:ilvl w:val="0"/>
          <w:numId w:val="1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District 2 Planning Commissioner</w:t>
      </w:r>
      <w:r w:rsidRPr="00280C7E">
        <w:rPr>
          <w:lang w:val="en-US"/>
        </w:rPr>
        <w:t>: </w:t>
      </w:r>
      <w:r w:rsidRPr="00280C7E">
        <w:rPr>
          <w:b/>
          <w:bCs/>
          <w:lang w:val="en-US"/>
        </w:rPr>
        <w:t>John Cromwell</w:t>
      </w:r>
      <w:r w:rsidRPr="00280C7E">
        <w:rPr>
          <w:lang w:val="en-US"/>
        </w:rPr>
        <w:t> (Term: 2024–2028)</w:t>
      </w:r>
    </w:p>
    <w:p w14:paraId="54F85A22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38D7CFCE">
          <v:rect id="_x0000_i1081" style="width:6in;height:1.5pt" o:hralign="center" o:hrstd="t" o:hr="t" fillcolor="#a0a0a0" stroked="f"/>
        </w:pict>
      </w:r>
    </w:p>
    <w:p w14:paraId="56A6AF6E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Q3: Who is the Mayor of Virginia Beach?</w:t>
      </w:r>
    </w:p>
    <w:p w14:paraId="53A4EA13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Robert “Bobby” Dyer</w:t>
      </w:r>
      <w:r w:rsidRPr="00280C7E">
        <w:rPr>
          <w:lang w:val="en-US"/>
        </w:rPr>
        <w:t>, Mayor since 2018. He is the elected head of City Council and represents the city in ceremonial and official functions.</w:t>
      </w:r>
    </w:p>
    <w:p w14:paraId="78B4AFF1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4A4BF5B7">
          <v:rect id="_x0000_i1082" style="width:468pt;height:1.5pt" o:hralign="center" o:hrstd="t" o:hr="t" fillcolor="#a0a0a0" stroked="f"/>
        </w:pict>
      </w:r>
    </w:p>
    <w:p w14:paraId="46CEB6F9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Q4: Who is the City Manager of Virginia Beach?</w:t>
      </w:r>
    </w:p>
    <w:p w14:paraId="034E4334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Patrick A. Duhaney</w:t>
      </w:r>
      <w:r w:rsidRPr="00280C7E">
        <w:rPr>
          <w:lang w:val="en-US"/>
        </w:rPr>
        <w:t> is the current City Manager, appointed by City Council to manage city operations and administration.</w:t>
      </w:r>
    </w:p>
    <w:p w14:paraId="6C74E613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5F1E4C30">
          <v:rect id="_x0000_i1083" style="width:468pt;height:1.5pt" o:hralign="center" o:hrstd="t" o:hr="t" fillcolor="#a0a0a0" stroked="f"/>
        </w:pict>
      </w:r>
    </w:p>
    <w:p w14:paraId="5BAB4BFB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Q5: What is the Comprehensive Plan?</w:t>
      </w:r>
    </w:p>
    <w:p w14:paraId="558ECE4C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The </w:t>
      </w:r>
      <w:r w:rsidRPr="00280C7E">
        <w:rPr>
          <w:b/>
          <w:bCs/>
          <w:lang w:val="en-US"/>
        </w:rPr>
        <w:t>Comprehensive Plan</w:t>
      </w:r>
      <w:r w:rsidRPr="00280C7E">
        <w:rPr>
          <w:lang w:val="en-US"/>
        </w:rPr>
        <w:t xml:space="preserve"> is Virginia Beach’s long-range planning document. It guides land use, development, environmental protection, infrastructure planning, and transportation policy for the next </w:t>
      </w:r>
      <w:r w:rsidRPr="00280C7E">
        <w:rPr>
          <w:lang w:val="en-US"/>
        </w:rPr>
        <w:lastRenderedPageBreak/>
        <w:t>20–25 years. It’s reviewed at least every 5 years and helps shape decisions on zoning, public services, and growth.</w:t>
      </w:r>
    </w:p>
    <w:p w14:paraId="628D2BF3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285DBE0E">
          <v:rect id="_x0000_i1084" style="width:468pt;height:1.5pt" o:hralign="center" o:hrstd="t" o:hr="t" fillcolor="#a0a0a0" stroked="f"/>
        </w:pict>
      </w:r>
    </w:p>
    <w:p w14:paraId="5CDBEA28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Q6: What is the Green Line, and why does it matter?</w:t>
      </w:r>
    </w:p>
    <w:p w14:paraId="7BB2FB69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The </w:t>
      </w:r>
      <w:r w:rsidRPr="00280C7E">
        <w:rPr>
          <w:b/>
          <w:bCs/>
          <w:lang w:val="en-US"/>
        </w:rPr>
        <w:t>Green Line</w:t>
      </w:r>
      <w:r w:rsidRPr="00280C7E">
        <w:rPr>
          <w:lang w:val="en-US"/>
        </w:rPr>
        <w:t> is a planning boundary intended to limit suburban sprawl by separating urban development areas from rural/agricultural land. It’s designed to </w:t>
      </w:r>
      <w:r w:rsidRPr="00280C7E">
        <w:rPr>
          <w:b/>
          <w:bCs/>
          <w:lang w:val="en-US"/>
        </w:rPr>
        <w:t>protect natural resources, limit infrastructure overreach, and preserve rural character</w:t>
      </w:r>
      <w:r w:rsidRPr="00280C7E">
        <w:rPr>
          <w:lang w:val="en-US"/>
        </w:rPr>
        <w:t>.</w:t>
      </w:r>
    </w:p>
    <w:p w14:paraId="1C63E727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2F50F927">
          <v:rect id="_x0000_i1085" style="width:468pt;height:1.5pt" o:hralign="center" o:hrstd="t" o:hr="t" fillcolor="#a0a0a0" stroked="f"/>
        </w:pict>
      </w:r>
    </w:p>
    <w:p w14:paraId="3FA78E52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Q7: What is the Blue Line?</w:t>
      </w:r>
    </w:p>
    <w:p w14:paraId="1A0BC0C0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The </w:t>
      </w:r>
      <w:r w:rsidRPr="00280C7E">
        <w:rPr>
          <w:b/>
          <w:bCs/>
          <w:lang w:val="en-US"/>
        </w:rPr>
        <w:t>Blue Line</w:t>
      </w:r>
      <w:r w:rsidRPr="00280C7E">
        <w:rPr>
          <w:lang w:val="en-US"/>
        </w:rPr>
        <w:t> marks the southern limit of the city’s sanitary sewer system. It restricts where urban sewer service can extend, helping prevent overdevelopment in environmentally sensitive and flood-prone areas.</w:t>
      </w:r>
    </w:p>
    <w:p w14:paraId="4FEE3AE0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50730D61">
          <v:rect id="_x0000_i1086" style="width:468pt;height:1.5pt" o:hralign="center" o:hrstd="t" o:hr="t" fillcolor="#a0a0a0" stroked="f"/>
        </w:pict>
      </w:r>
    </w:p>
    <w:p w14:paraId="015574E7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Q8: What is the Interfacility Traffic Area (ITA)?</w:t>
      </w:r>
    </w:p>
    <w:p w14:paraId="46726702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The </w:t>
      </w:r>
      <w:r w:rsidRPr="00280C7E">
        <w:rPr>
          <w:b/>
          <w:bCs/>
          <w:lang w:val="en-US"/>
        </w:rPr>
        <w:t>ITA</w:t>
      </w:r>
      <w:r w:rsidRPr="00280C7E">
        <w:rPr>
          <w:lang w:val="en-US"/>
        </w:rPr>
        <w:t> is a protected corridor between </w:t>
      </w:r>
      <w:r w:rsidRPr="00280C7E">
        <w:rPr>
          <w:b/>
          <w:bCs/>
          <w:lang w:val="en-US"/>
        </w:rPr>
        <w:t>NAS Oceana and Naval Auxiliary Landing Field Fentress</w:t>
      </w:r>
      <w:r w:rsidRPr="00280C7E">
        <w:rPr>
          <w:lang w:val="en-US"/>
        </w:rPr>
        <w:t>. It is essential for military training flights and was established to </w:t>
      </w:r>
      <w:r w:rsidRPr="00280C7E">
        <w:rPr>
          <w:b/>
          <w:bCs/>
          <w:lang w:val="en-US"/>
        </w:rPr>
        <w:t>restrict high-density development that could interfere with military operations or public safety</w:t>
      </w:r>
      <w:r w:rsidRPr="00280C7E">
        <w:rPr>
          <w:lang w:val="en-US"/>
        </w:rPr>
        <w:t>.</w:t>
      </w:r>
    </w:p>
    <w:p w14:paraId="2DE68E32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pict w14:anchorId="68D535A0">
          <v:rect id="_x0000_i1087" style="width:468pt;height:1.5pt" o:hralign="center" o:hrstd="t" o:hr="t" fillcolor="#a0a0a0" stroked="f"/>
        </w:pict>
      </w:r>
    </w:p>
    <w:p w14:paraId="00E9EAA3" w14:textId="77777777" w:rsidR="00280C7E" w:rsidRPr="00280C7E" w:rsidRDefault="00280C7E" w:rsidP="00280C7E">
      <w:pPr>
        <w:spacing w:after="200" w:line="276" w:lineRule="auto"/>
        <w:rPr>
          <w:b/>
          <w:bCs/>
          <w:lang w:val="en-US"/>
        </w:rPr>
      </w:pPr>
      <w:r w:rsidRPr="00280C7E">
        <w:rPr>
          <w:rFonts w:ascii="Segoe UI Emoji" w:hAnsi="Segoe UI Emoji" w:cs="Segoe UI Emoji"/>
          <w:b/>
          <w:bCs/>
          <w:lang w:val="en-US"/>
        </w:rPr>
        <w:t>✅</w:t>
      </w:r>
      <w:r w:rsidRPr="00280C7E">
        <w:rPr>
          <w:b/>
          <w:bCs/>
          <w:lang w:val="en-US"/>
        </w:rPr>
        <w:t> Q9: Why is rezoning south of the Green Line a concern for citizens?</w:t>
      </w:r>
    </w:p>
    <w:p w14:paraId="28DB13DB" w14:textId="77777777" w:rsidR="00280C7E" w:rsidRPr="00280C7E" w:rsidRDefault="00280C7E" w:rsidP="00280C7E">
      <w:pPr>
        <w:spacing w:after="200" w:line="276" w:lineRule="auto"/>
        <w:rPr>
          <w:lang w:val="en-US"/>
        </w:rPr>
      </w:pPr>
      <w:r w:rsidRPr="00280C7E">
        <w:rPr>
          <w:lang w:val="en-US"/>
        </w:rPr>
        <w:t>Rezoning south of the Green Line:</w:t>
      </w:r>
    </w:p>
    <w:p w14:paraId="77958B94" w14:textId="77777777" w:rsidR="00280C7E" w:rsidRPr="00280C7E" w:rsidRDefault="00280C7E" w:rsidP="00280C7E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Undermines the Comprehensive Plan</w:t>
      </w:r>
    </w:p>
    <w:p w14:paraId="3F189BFF" w14:textId="77777777" w:rsidR="00280C7E" w:rsidRPr="00280C7E" w:rsidRDefault="00280C7E" w:rsidP="00280C7E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Increases flooding risks and strains infrastructure</w:t>
      </w:r>
    </w:p>
    <w:p w14:paraId="2E25652C" w14:textId="77777777" w:rsidR="00280C7E" w:rsidRPr="00280C7E" w:rsidRDefault="00280C7E" w:rsidP="00280C7E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Threatens military compatibility</w:t>
      </w:r>
    </w:p>
    <w:p w14:paraId="6BA71329" w14:textId="77777777" w:rsidR="00280C7E" w:rsidRPr="00280C7E" w:rsidRDefault="00280C7E" w:rsidP="00280C7E">
      <w:pPr>
        <w:numPr>
          <w:ilvl w:val="0"/>
          <w:numId w:val="2"/>
        </w:numPr>
        <w:spacing w:after="200" w:line="276" w:lineRule="auto"/>
        <w:rPr>
          <w:lang w:val="en-US"/>
        </w:rPr>
      </w:pPr>
      <w:r w:rsidRPr="00280C7E">
        <w:rPr>
          <w:b/>
          <w:bCs/>
          <w:lang w:val="en-US"/>
        </w:rPr>
        <w:t>Contradicts public input</w:t>
      </w:r>
      <w:r w:rsidRPr="00280C7E">
        <w:rPr>
          <w:lang w:val="en-US"/>
        </w:rPr>
        <w:t> (as demonstrated in the July 8, 2025 council meeting, where all public speakers opposed rezoning the Keelingwood/Silo project)</w:t>
      </w:r>
    </w:p>
    <w:p w14:paraId="43E864CF" w14:textId="77777777" w:rsidR="00CD34DF" w:rsidRDefault="00CD34DF">
      <w:pPr>
        <w:spacing w:after="200" w:line="276" w:lineRule="auto"/>
      </w:pPr>
    </w:p>
    <w:sectPr w:rsidR="00CD34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110B" w14:textId="77777777" w:rsidR="00A93120" w:rsidRDefault="00A93120">
      <w:pPr>
        <w:spacing w:after="0" w:line="240" w:lineRule="auto"/>
      </w:pPr>
      <w:r>
        <w:separator/>
      </w:r>
    </w:p>
  </w:endnote>
  <w:endnote w:type="continuationSeparator" w:id="0">
    <w:p w14:paraId="338112AF" w14:textId="77777777" w:rsidR="00A93120" w:rsidRDefault="00A93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E54BB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8F90" w14:textId="303F3510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0C7E">
      <w:rPr>
        <w:noProof/>
        <w:color w:val="000000"/>
      </w:rPr>
      <w:t>2</w:t>
    </w:r>
    <w:r>
      <w:rPr>
        <w:color w:val="000000"/>
      </w:rPr>
      <w:fldChar w:fldCharType="end"/>
    </w:r>
  </w:p>
  <w:p w14:paraId="4E1D3312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1BF2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0468D" w14:textId="77777777" w:rsidR="00A93120" w:rsidRDefault="00A93120">
      <w:pPr>
        <w:spacing w:after="0" w:line="240" w:lineRule="auto"/>
      </w:pPr>
      <w:r>
        <w:separator/>
      </w:r>
    </w:p>
  </w:footnote>
  <w:footnote w:type="continuationSeparator" w:id="0">
    <w:p w14:paraId="40E46D18" w14:textId="77777777" w:rsidR="00A93120" w:rsidRDefault="00A93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608E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844575A" wp14:editId="70D806F6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750791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47B039BD" w14:textId="77777777" w:rsidR="00CD34DF" w:rsidRDefault="00CD34DF">
    <w:pPr>
      <w:spacing w:after="0" w:line="240" w:lineRule="auto"/>
      <w:ind w:left="3600"/>
      <w:rPr>
        <w:rFonts w:ascii="Aptos" w:eastAsia="Aptos" w:hAnsi="Aptos" w:cs="Aptos"/>
      </w:rPr>
    </w:pPr>
  </w:p>
  <w:p w14:paraId="4EA3EF6F" w14:textId="77777777" w:rsidR="00CD34DF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0225651F" w14:textId="77777777" w:rsidR="00CD34DF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6FA50A09" w14:textId="77777777" w:rsidR="00CD34DF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297EE8D2" w14:textId="77777777" w:rsidR="00CD34DF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04B679EA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76FAD45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4F0F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A900188" wp14:editId="7197831D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E1A9F9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5B427FC9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212D230E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5BA68C2D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1F5C8E1D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04834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C8DDF07" wp14:editId="49B1F42C">
          <wp:simplePos x="0" y="0"/>
          <wp:positionH relativeFrom="column">
            <wp:posOffset>-695324</wp:posOffset>
          </wp:positionH>
          <wp:positionV relativeFrom="paragraph">
            <wp:posOffset>-123824</wp:posOffset>
          </wp:positionV>
          <wp:extent cx="1228725" cy="1233170"/>
          <wp:effectExtent l="0" t="0" r="0" b="0"/>
          <wp:wrapSquare wrapText="bothSides" distT="0" distB="0" distL="114300" distR="114300"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2EB8E0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65 years</w:t>
    </w:r>
  </w:p>
  <w:p w14:paraId="147735E1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3C5ABDAC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002B4D86" w14:textId="77777777" w:rsidR="00CD34D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1849BF96" w14:textId="77777777" w:rsidR="00CD34DF" w:rsidRDefault="00CD34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7644E"/>
    <w:multiLevelType w:val="multilevel"/>
    <w:tmpl w:val="BBC0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4B25EC"/>
    <w:multiLevelType w:val="multilevel"/>
    <w:tmpl w:val="3334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56452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657037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4DF"/>
    <w:rsid w:val="00280C7E"/>
    <w:rsid w:val="0052473A"/>
    <w:rsid w:val="00A93120"/>
    <w:rsid w:val="00CD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BB514"/>
  <w15:docId w15:val="{6F97CC9B-28DF-4F47-B40E-40A454ED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2150</Characters>
  <Application>Microsoft Office Word</Application>
  <DocSecurity>0</DocSecurity>
  <Lines>17</Lines>
  <Paragraphs>5</Paragraphs>
  <ScaleCrop>false</ScaleCrop>
  <Company>Computer Networks, Inc.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2025-08-18T12:16:00Z</dcterms:created>
  <dcterms:modified xsi:type="dcterms:W3CDTF">2025-08-18T12:16:00Z</dcterms:modified>
</cp:coreProperties>
</file>