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6C7CD" w14:textId="77777777" w:rsidR="009B01D4" w:rsidRPr="009B01D4" w:rsidRDefault="009B01D4" w:rsidP="009B01D4">
      <w:pPr>
        <w:spacing w:after="200" w:line="276" w:lineRule="auto"/>
        <w:jc w:val="center"/>
        <w:rPr>
          <w:b/>
          <w:bCs/>
          <w:sz w:val="48"/>
          <w:szCs w:val="48"/>
          <w:lang w:val="en-US"/>
        </w:rPr>
      </w:pPr>
      <w:r w:rsidRPr="009B01D4">
        <w:rPr>
          <w:b/>
          <w:bCs/>
          <w:sz w:val="48"/>
          <w:szCs w:val="48"/>
          <w:lang w:val="en-US"/>
        </w:rPr>
        <w:t>Purpose of This Overview</w:t>
      </w:r>
    </w:p>
    <w:p w14:paraId="5BBBE03C" w14:textId="77777777" w:rsidR="009B01D4" w:rsidRPr="009B01D4" w:rsidRDefault="009B01D4" w:rsidP="009B01D4">
      <w:pPr>
        <w:spacing w:after="200" w:line="276" w:lineRule="auto"/>
        <w:rPr>
          <w:lang w:val="en-US"/>
        </w:rPr>
      </w:pPr>
      <w:r w:rsidRPr="009B01D4">
        <w:rPr>
          <w:lang w:val="en-US"/>
        </w:rPr>
        <w:t>This briefing is designed to provide residents with a clear, non-technical understanding of four key tools used to guide growth and protect quality of life in Virginia Beach:</w:t>
      </w:r>
    </w:p>
    <w:p w14:paraId="51963E27" w14:textId="77777777" w:rsidR="009B01D4" w:rsidRPr="009B01D4" w:rsidRDefault="009B01D4" w:rsidP="009B01D4">
      <w:pPr>
        <w:numPr>
          <w:ilvl w:val="1"/>
          <w:numId w:val="1"/>
        </w:numPr>
        <w:spacing w:after="200" w:line="276" w:lineRule="auto"/>
        <w:rPr>
          <w:lang w:val="en-US"/>
        </w:rPr>
      </w:pPr>
      <w:r w:rsidRPr="009B01D4">
        <w:rPr>
          <w:b/>
          <w:bCs/>
          <w:lang w:val="en-US"/>
        </w:rPr>
        <w:t>Blue Line</w:t>
      </w:r>
    </w:p>
    <w:p w14:paraId="0BDB4EA4" w14:textId="77777777" w:rsidR="009B01D4" w:rsidRPr="009B01D4" w:rsidRDefault="009B01D4" w:rsidP="009B01D4">
      <w:pPr>
        <w:numPr>
          <w:ilvl w:val="1"/>
          <w:numId w:val="1"/>
        </w:numPr>
        <w:spacing w:after="200" w:line="276" w:lineRule="auto"/>
        <w:rPr>
          <w:lang w:val="en-US"/>
        </w:rPr>
      </w:pPr>
      <w:r w:rsidRPr="009B01D4">
        <w:rPr>
          <w:b/>
          <w:bCs/>
          <w:lang w:val="en-US"/>
        </w:rPr>
        <w:t>Green Line</w:t>
      </w:r>
    </w:p>
    <w:p w14:paraId="77648F57" w14:textId="77777777" w:rsidR="009B01D4" w:rsidRPr="009B01D4" w:rsidRDefault="009B01D4" w:rsidP="009B01D4">
      <w:pPr>
        <w:numPr>
          <w:ilvl w:val="1"/>
          <w:numId w:val="1"/>
        </w:numPr>
        <w:spacing w:after="200" w:line="276" w:lineRule="auto"/>
        <w:rPr>
          <w:lang w:val="en-US"/>
        </w:rPr>
      </w:pPr>
      <w:r w:rsidRPr="009B01D4">
        <w:rPr>
          <w:b/>
          <w:bCs/>
          <w:lang w:val="en-US"/>
        </w:rPr>
        <w:t>Transition Area</w:t>
      </w:r>
    </w:p>
    <w:p w14:paraId="67DBEB6C" w14:textId="77777777" w:rsidR="009B01D4" w:rsidRPr="009B01D4" w:rsidRDefault="009B01D4" w:rsidP="009B01D4">
      <w:pPr>
        <w:numPr>
          <w:ilvl w:val="1"/>
          <w:numId w:val="1"/>
        </w:numPr>
        <w:spacing w:after="200" w:line="276" w:lineRule="auto"/>
        <w:rPr>
          <w:lang w:val="en-US"/>
        </w:rPr>
      </w:pPr>
      <w:r w:rsidRPr="009B01D4">
        <w:rPr>
          <w:b/>
          <w:bCs/>
          <w:lang w:val="en-US"/>
        </w:rPr>
        <w:t>Interfacility Traffic Area (ITA)</w:t>
      </w:r>
    </w:p>
    <w:p w14:paraId="7AE380F2" w14:textId="77777777" w:rsidR="009B01D4" w:rsidRPr="009B01D4" w:rsidRDefault="009B01D4" w:rsidP="009B01D4">
      <w:pPr>
        <w:spacing w:after="200" w:line="276" w:lineRule="auto"/>
        <w:rPr>
          <w:lang w:val="en-US"/>
        </w:rPr>
      </w:pPr>
      <w:r w:rsidRPr="009B01D4">
        <w:rPr>
          <w:lang w:val="en-US"/>
        </w:rPr>
        <w:t>Each of these represents a long-standing policy effort by the city to balance development, environmental protection, and military compatibility.</w:t>
      </w:r>
    </w:p>
    <w:p w14:paraId="04D6C7A4" w14:textId="77777777" w:rsidR="009B01D4" w:rsidRPr="009B01D4" w:rsidRDefault="009B01D4" w:rsidP="009B01D4">
      <w:pPr>
        <w:spacing w:after="200" w:line="276" w:lineRule="auto"/>
        <w:rPr>
          <w:lang w:val="en-US"/>
        </w:rPr>
      </w:pPr>
      <w:r w:rsidRPr="009B01D4">
        <w:rPr>
          <w:lang w:val="en-US"/>
        </w:rPr>
        <w:pict w14:anchorId="44EA6B92">
          <v:rect id="_x0000_i1055" style="width:468pt;height:1.5pt" o:hralign="center" o:hrstd="t" o:hr="t" fillcolor="#a0a0a0" stroked="f"/>
        </w:pict>
      </w:r>
    </w:p>
    <w:p w14:paraId="3EB59EA4" w14:textId="77777777" w:rsidR="009B01D4" w:rsidRPr="009B01D4" w:rsidRDefault="009B01D4" w:rsidP="009B01D4">
      <w:pPr>
        <w:spacing w:after="200" w:line="276" w:lineRule="auto"/>
        <w:rPr>
          <w:b/>
          <w:bCs/>
          <w:lang w:val="en-US"/>
        </w:rPr>
      </w:pPr>
      <w:r w:rsidRPr="009B01D4">
        <w:rPr>
          <w:rFonts w:ascii="Segoe UI Emoji" w:hAnsi="Segoe UI Emoji" w:cs="Segoe UI Emoji"/>
          <w:b/>
          <w:bCs/>
          <w:lang w:val="en-US"/>
        </w:rPr>
        <w:t>📘</w:t>
      </w:r>
      <w:r w:rsidRPr="009B01D4">
        <w:rPr>
          <w:b/>
          <w:bCs/>
          <w:lang w:val="en-US"/>
        </w:rPr>
        <w:t> 1. The Blue Line</w:t>
      </w:r>
    </w:p>
    <w:p w14:paraId="5893DF08" w14:textId="77777777" w:rsidR="009B01D4" w:rsidRPr="009B01D4" w:rsidRDefault="009B01D4" w:rsidP="009B01D4">
      <w:pPr>
        <w:numPr>
          <w:ilvl w:val="1"/>
          <w:numId w:val="1"/>
        </w:numPr>
        <w:spacing w:after="200" w:line="276" w:lineRule="auto"/>
        <w:rPr>
          <w:lang w:val="en-US"/>
        </w:rPr>
      </w:pPr>
      <w:r w:rsidRPr="009B01D4">
        <w:rPr>
          <w:b/>
          <w:bCs/>
          <w:lang w:val="en-US"/>
        </w:rPr>
        <w:t>Definition</w:t>
      </w:r>
      <w:r w:rsidRPr="009B01D4">
        <w:rPr>
          <w:lang w:val="en-US"/>
        </w:rPr>
        <w:t>: The Blue Line marks the southern limit of where public </w:t>
      </w:r>
      <w:r w:rsidRPr="009B01D4">
        <w:rPr>
          <w:b/>
          <w:bCs/>
          <w:lang w:val="en-US"/>
        </w:rPr>
        <w:t>sewer and water infrastructure</w:t>
      </w:r>
      <w:r w:rsidRPr="009B01D4">
        <w:rPr>
          <w:lang w:val="en-US"/>
        </w:rPr>
        <w:t> can extend.</w:t>
      </w:r>
    </w:p>
    <w:p w14:paraId="3BE00D7F" w14:textId="77777777" w:rsidR="009B01D4" w:rsidRPr="009B01D4" w:rsidRDefault="009B01D4" w:rsidP="009B01D4">
      <w:pPr>
        <w:numPr>
          <w:ilvl w:val="1"/>
          <w:numId w:val="1"/>
        </w:numPr>
        <w:spacing w:after="200" w:line="276" w:lineRule="auto"/>
        <w:rPr>
          <w:lang w:val="en-US"/>
        </w:rPr>
      </w:pPr>
      <w:r w:rsidRPr="009B01D4">
        <w:rPr>
          <w:b/>
          <w:bCs/>
          <w:lang w:val="en-US"/>
        </w:rPr>
        <w:t>Purpose</w:t>
      </w:r>
      <w:r w:rsidRPr="009B01D4">
        <w:rPr>
          <w:lang w:val="en-US"/>
        </w:rPr>
        <w:t>: To prevent urban sprawl into rural or environmentally sensitive areas by </w:t>
      </w:r>
      <w:r w:rsidRPr="009B01D4">
        <w:rPr>
          <w:b/>
          <w:bCs/>
          <w:lang w:val="en-US"/>
        </w:rPr>
        <w:t>limiting high-density development</w:t>
      </w:r>
      <w:r w:rsidRPr="009B01D4">
        <w:rPr>
          <w:lang w:val="en-US"/>
        </w:rPr>
        <w:t>.</w:t>
      </w:r>
    </w:p>
    <w:p w14:paraId="1D72A7F1" w14:textId="77777777" w:rsidR="009B01D4" w:rsidRPr="009B01D4" w:rsidRDefault="009B01D4" w:rsidP="009B01D4">
      <w:pPr>
        <w:numPr>
          <w:ilvl w:val="1"/>
          <w:numId w:val="1"/>
        </w:numPr>
        <w:spacing w:after="200" w:line="276" w:lineRule="auto"/>
        <w:rPr>
          <w:lang w:val="en-US"/>
        </w:rPr>
      </w:pPr>
      <w:r w:rsidRPr="009B01D4">
        <w:rPr>
          <w:b/>
          <w:bCs/>
          <w:lang w:val="en-US"/>
        </w:rPr>
        <w:t>History</w:t>
      </w:r>
      <w:r w:rsidRPr="009B01D4">
        <w:rPr>
          <w:lang w:val="en-US"/>
        </w:rPr>
        <w:t>: Adopted in the 1970s as part of groundwater protection and smart infrastructure planning.</w:t>
      </w:r>
    </w:p>
    <w:p w14:paraId="52A1841E" w14:textId="77777777" w:rsidR="009B01D4" w:rsidRPr="009B01D4" w:rsidRDefault="009B01D4" w:rsidP="009B01D4">
      <w:pPr>
        <w:spacing w:after="200" w:line="276" w:lineRule="auto"/>
        <w:rPr>
          <w:lang w:val="en-US"/>
        </w:rPr>
      </w:pPr>
      <w:r w:rsidRPr="009B01D4">
        <w:rPr>
          <w:lang w:val="en-US"/>
        </w:rPr>
        <w:pict w14:anchorId="702D99BA">
          <v:rect id="_x0000_i1056" style="width:396pt;height:1.5pt" o:hralign="center" o:hrstd="t" o:hr="t" fillcolor="#a0a0a0" stroked="f"/>
        </w:pict>
      </w:r>
    </w:p>
    <w:p w14:paraId="19565C40" w14:textId="77777777" w:rsidR="009B01D4" w:rsidRPr="009B01D4" w:rsidRDefault="009B01D4" w:rsidP="009B01D4">
      <w:pPr>
        <w:spacing w:after="200" w:line="276" w:lineRule="auto"/>
        <w:rPr>
          <w:b/>
          <w:bCs/>
          <w:lang w:val="en-US"/>
        </w:rPr>
      </w:pPr>
      <w:r w:rsidRPr="009B01D4">
        <w:rPr>
          <w:rFonts w:ascii="Segoe UI Emoji" w:hAnsi="Segoe UI Emoji" w:cs="Segoe UI Emoji"/>
          <w:b/>
          <w:bCs/>
          <w:lang w:val="en-US"/>
        </w:rPr>
        <w:t>📗</w:t>
      </w:r>
      <w:r w:rsidRPr="009B01D4">
        <w:rPr>
          <w:b/>
          <w:bCs/>
          <w:lang w:val="en-US"/>
        </w:rPr>
        <w:t> 2. The Green Line</w:t>
      </w:r>
    </w:p>
    <w:p w14:paraId="211DC590" w14:textId="77777777" w:rsidR="009B01D4" w:rsidRPr="009B01D4" w:rsidRDefault="009B01D4" w:rsidP="009B01D4">
      <w:pPr>
        <w:numPr>
          <w:ilvl w:val="1"/>
          <w:numId w:val="1"/>
        </w:numPr>
        <w:spacing w:after="200" w:line="276" w:lineRule="auto"/>
        <w:rPr>
          <w:lang w:val="en-US"/>
        </w:rPr>
      </w:pPr>
      <w:r w:rsidRPr="009B01D4">
        <w:rPr>
          <w:b/>
          <w:bCs/>
          <w:lang w:val="en-US"/>
        </w:rPr>
        <w:t>Definition</w:t>
      </w:r>
      <w:r w:rsidRPr="009B01D4">
        <w:rPr>
          <w:lang w:val="en-US"/>
        </w:rPr>
        <w:t>: A </w:t>
      </w:r>
      <w:r w:rsidRPr="009B01D4">
        <w:rPr>
          <w:b/>
          <w:bCs/>
          <w:lang w:val="en-US"/>
        </w:rPr>
        <w:t>planning boundary</w:t>
      </w:r>
      <w:r w:rsidRPr="009B01D4">
        <w:rPr>
          <w:lang w:val="en-US"/>
        </w:rPr>
        <w:t> separating urban/suburban development from rural lands.</w:t>
      </w:r>
    </w:p>
    <w:p w14:paraId="0E30F5A4" w14:textId="77777777" w:rsidR="009B01D4" w:rsidRPr="009B01D4" w:rsidRDefault="009B01D4" w:rsidP="009B01D4">
      <w:pPr>
        <w:numPr>
          <w:ilvl w:val="1"/>
          <w:numId w:val="1"/>
        </w:numPr>
        <w:spacing w:after="200" w:line="276" w:lineRule="auto"/>
        <w:rPr>
          <w:lang w:val="en-US"/>
        </w:rPr>
      </w:pPr>
      <w:r w:rsidRPr="009B01D4">
        <w:rPr>
          <w:b/>
          <w:bCs/>
          <w:lang w:val="en-US"/>
        </w:rPr>
        <w:t>Purpose</w:t>
      </w:r>
      <w:r w:rsidRPr="009B01D4">
        <w:rPr>
          <w:lang w:val="en-US"/>
        </w:rPr>
        <w:t>: To </w:t>
      </w:r>
      <w:r w:rsidRPr="009B01D4">
        <w:rPr>
          <w:b/>
          <w:bCs/>
          <w:lang w:val="en-US"/>
        </w:rPr>
        <w:t>contain suburban sprawl</w:t>
      </w:r>
      <w:r w:rsidRPr="009B01D4">
        <w:rPr>
          <w:lang w:val="en-US"/>
        </w:rPr>
        <w:t>, protect farmland, and maintain a clear rural identity in southern Virginia Beach.</w:t>
      </w:r>
    </w:p>
    <w:p w14:paraId="074C3D45" w14:textId="77777777" w:rsidR="009B01D4" w:rsidRPr="009B01D4" w:rsidRDefault="009B01D4" w:rsidP="009B01D4">
      <w:pPr>
        <w:numPr>
          <w:ilvl w:val="1"/>
          <w:numId w:val="1"/>
        </w:numPr>
        <w:spacing w:after="200" w:line="276" w:lineRule="auto"/>
        <w:rPr>
          <w:lang w:val="en-US"/>
        </w:rPr>
      </w:pPr>
      <w:r w:rsidRPr="009B01D4">
        <w:rPr>
          <w:b/>
          <w:bCs/>
          <w:lang w:val="en-US"/>
        </w:rPr>
        <w:t>History</w:t>
      </w:r>
      <w:r w:rsidRPr="009B01D4">
        <w:rPr>
          <w:lang w:val="en-US"/>
        </w:rPr>
        <w:t>: Introduced in the city’s </w:t>
      </w:r>
      <w:r w:rsidRPr="009B01D4">
        <w:rPr>
          <w:b/>
          <w:bCs/>
          <w:lang w:val="en-US"/>
        </w:rPr>
        <w:t>1980 Comprehensive Plan</w:t>
      </w:r>
      <w:r w:rsidRPr="009B01D4">
        <w:rPr>
          <w:lang w:val="en-US"/>
        </w:rPr>
        <w:t>; reaffirmed through multiple land use updates.</w:t>
      </w:r>
    </w:p>
    <w:p w14:paraId="12D72562" w14:textId="77777777" w:rsidR="009B01D4" w:rsidRPr="009B01D4" w:rsidRDefault="009B01D4" w:rsidP="009B01D4">
      <w:pPr>
        <w:spacing w:after="200" w:line="276" w:lineRule="auto"/>
        <w:rPr>
          <w:lang w:val="en-US"/>
        </w:rPr>
      </w:pPr>
      <w:r w:rsidRPr="009B01D4">
        <w:rPr>
          <w:lang w:val="en-US"/>
        </w:rPr>
        <w:pict w14:anchorId="206F5EAC">
          <v:rect id="_x0000_i1057" style="width:396pt;height:1.5pt" o:hralign="center" o:hrstd="t" o:hr="t" fillcolor="#a0a0a0" stroked="f"/>
        </w:pict>
      </w:r>
    </w:p>
    <w:p w14:paraId="62C1E59C" w14:textId="77777777" w:rsidR="009B01D4" w:rsidRPr="009B01D4" w:rsidRDefault="009B01D4" w:rsidP="009B01D4">
      <w:pPr>
        <w:spacing w:after="200" w:line="276" w:lineRule="auto"/>
        <w:rPr>
          <w:b/>
          <w:bCs/>
          <w:lang w:val="en-US"/>
        </w:rPr>
      </w:pPr>
      <w:r w:rsidRPr="009B01D4">
        <w:rPr>
          <w:rFonts w:ascii="Segoe UI Emoji" w:hAnsi="Segoe UI Emoji" w:cs="Segoe UI Emoji"/>
          <w:b/>
          <w:bCs/>
          <w:lang w:val="en-US"/>
        </w:rPr>
        <w:lastRenderedPageBreak/>
        <w:t>🌿</w:t>
      </w:r>
      <w:r w:rsidRPr="009B01D4">
        <w:rPr>
          <w:b/>
          <w:bCs/>
          <w:lang w:val="en-US"/>
        </w:rPr>
        <w:t> 3. The Transition Area</w:t>
      </w:r>
    </w:p>
    <w:p w14:paraId="439276AD" w14:textId="77777777" w:rsidR="009B01D4" w:rsidRPr="009B01D4" w:rsidRDefault="009B01D4" w:rsidP="009B01D4">
      <w:pPr>
        <w:numPr>
          <w:ilvl w:val="1"/>
          <w:numId w:val="1"/>
        </w:numPr>
        <w:spacing w:after="200" w:line="276" w:lineRule="auto"/>
        <w:rPr>
          <w:lang w:val="en-US"/>
        </w:rPr>
      </w:pPr>
      <w:r w:rsidRPr="009B01D4">
        <w:rPr>
          <w:b/>
          <w:bCs/>
          <w:lang w:val="en-US"/>
        </w:rPr>
        <w:t>Definition</w:t>
      </w:r>
      <w:r w:rsidRPr="009B01D4">
        <w:rPr>
          <w:lang w:val="en-US"/>
        </w:rPr>
        <w:t>: A </w:t>
      </w:r>
      <w:r w:rsidRPr="009B01D4">
        <w:rPr>
          <w:b/>
          <w:bCs/>
          <w:lang w:val="en-US"/>
        </w:rPr>
        <w:t>buffer zone</w:t>
      </w:r>
      <w:r w:rsidRPr="009B01D4">
        <w:rPr>
          <w:lang w:val="en-US"/>
        </w:rPr>
        <w:t> between dense suburban neighborhoods and protected rural areas.</w:t>
      </w:r>
    </w:p>
    <w:p w14:paraId="64DF9EFD" w14:textId="77777777" w:rsidR="009B01D4" w:rsidRPr="009B01D4" w:rsidRDefault="009B01D4" w:rsidP="009B01D4">
      <w:pPr>
        <w:numPr>
          <w:ilvl w:val="1"/>
          <w:numId w:val="1"/>
        </w:numPr>
        <w:spacing w:after="200" w:line="276" w:lineRule="auto"/>
        <w:rPr>
          <w:lang w:val="en-US"/>
        </w:rPr>
      </w:pPr>
      <w:r w:rsidRPr="009B01D4">
        <w:rPr>
          <w:b/>
          <w:bCs/>
          <w:lang w:val="en-US"/>
        </w:rPr>
        <w:t>Purpose</w:t>
      </w:r>
      <w:r w:rsidRPr="009B01D4">
        <w:rPr>
          <w:lang w:val="en-US"/>
        </w:rPr>
        <w:t>: Allows </w:t>
      </w:r>
      <w:r w:rsidRPr="009B01D4">
        <w:rPr>
          <w:b/>
          <w:bCs/>
          <w:lang w:val="en-US"/>
        </w:rPr>
        <w:t>low-density, semi-rural residential development</w:t>
      </w:r>
      <w:r w:rsidRPr="009B01D4">
        <w:rPr>
          <w:lang w:val="en-US"/>
        </w:rPr>
        <w:t>—serving as a transition between the urban north and rural south.</w:t>
      </w:r>
    </w:p>
    <w:p w14:paraId="71E34F6F" w14:textId="77777777" w:rsidR="009B01D4" w:rsidRPr="009B01D4" w:rsidRDefault="009B01D4" w:rsidP="009B01D4">
      <w:pPr>
        <w:numPr>
          <w:ilvl w:val="1"/>
          <w:numId w:val="1"/>
        </w:numPr>
        <w:spacing w:after="200" w:line="276" w:lineRule="auto"/>
        <w:rPr>
          <w:lang w:val="en-US"/>
        </w:rPr>
      </w:pPr>
      <w:r w:rsidRPr="009B01D4">
        <w:rPr>
          <w:b/>
          <w:bCs/>
          <w:lang w:val="en-US"/>
        </w:rPr>
        <w:t>History</w:t>
      </w:r>
      <w:r w:rsidRPr="009B01D4">
        <w:rPr>
          <w:lang w:val="en-US"/>
        </w:rPr>
        <w:t>: Created in the </w:t>
      </w:r>
      <w:r w:rsidRPr="009B01D4">
        <w:rPr>
          <w:b/>
          <w:bCs/>
          <w:lang w:val="en-US"/>
        </w:rPr>
        <w:t>1990s</w:t>
      </w:r>
      <w:r w:rsidRPr="009B01D4">
        <w:rPr>
          <w:lang w:val="en-US"/>
        </w:rPr>
        <w:t> to provide a compromise between growth pressure and land preservation, the Transition Area supports large-lot homes, open space, and rural character.</w:t>
      </w:r>
    </w:p>
    <w:p w14:paraId="386B5B5F" w14:textId="77777777" w:rsidR="009B01D4" w:rsidRPr="009B01D4" w:rsidRDefault="009B01D4" w:rsidP="009B01D4">
      <w:pPr>
        <w:spacing w:after="200" w:line="276" w:lineRule="auto"/>
        <w:rPr>
          <w:lang w:val="en-US"/>
        </w:rPr>
      </w:pPr>
      <w:r w:rsidRPr="009B01D4">
        <w:rPr>
          <w:lang w:val="en-US"/>
        </w:rPr>
        <w:pict w14:anchorId="6B8FA7C0">
          <v:rect id="_x0000_i1058" style="width:396pt;height:1.5pt" o:hralign="center" o:hrstd="t" o:hr="t" fillcolor="#a0a0a0" stroked="f"/>
        </w:pict>
      </w:r>
    </w:p>
    <w:p w14:paraId="099D23B5" w14:textId="77777777" w:rsidR="009B01D4" w:rsidRPr="009B01D4" w:rsidRDefault="009B01D4" w:rsidP="009B01D4">
      <w:pPr>
        <w:spacing w:after="200" w:line="276" w:lineRule="auto"/>
        <w:rPr>
          <w:b/>
          <w:bCs/>
          <w:lang w:val="en-US"/>
        </w:rPr>
      </w:pPr>
      <w:r w:rsidRPr="009B01D4">
        <w:rPr>
          <w:rFonts w:ascii="Segoe UI Emoji" w:hAnsi="Segoe UI Emoji" w:cs="Segoe UI Emoji"/>
          <w:b/>
          <w:bCs/>
          <w:lang w:val="en-US"/>
        </w:rPr>
        <w:t>✈️</w:t>
      </w:r>
      <w:r w:rsidRPr="009B01D4">
        <w:rPr>
          <w:b/>
          <w:bCs/>
          <w:lang w:val="en-US"/>
        </w:rPr>
        <w:t> 4. Interfacility Traffic Area (ITA)</w:t>
      </w:r>
    </w:p>
    <w:p w14:paraId="6C6F8236" w14:textId="77777777" w:rsidR="009B01D4" w:rsidRPr="009B01D4" w:rsidRDefault="009B01D4" w:rsidP="009B01D4">
      <w:pPr>
        <w:numPr>
          <w:ilvl w:val="1"/>
          <w:numId w:val="1"/>
        </w:numPr>
        <w:spacing w:after="200" w:line="276" w:lineRule="auto"/>
        <w:rPr>
          <w:lang w:val="en-US"/>
        </w:rPr>
      </w:pPr>
      <w:r w:rsidRPr="009B01D4">
        <w:rPr>
          <w:b/>
          <w:bCs/>
          <w:lang w:val="en-US"/>
        </w:rPr>
        <w:t>Definition</w:t>
      </w:r>
      <w:r w:rsidRPr="009B01D4">
        <w:rPr>
          <w:lang w:val="en-US"/>
        </w:rPr>
        <w:t>: A strategic corridor of land between </w:t>
      </w:r>
      <w:r w:rsidRPr="009B01D4">
        <w:rPr>
          <w:b/>
          <w:bCs/>
          <w:lang w:val="en-US"/>
        </w:rPr>
        <w:t>NAS Oceana</w:t>
      </w:r>
      <w:r w:rsidRPr="009B01D4">
        <w:rPr>
          <w:lang w:val="en-US"/>
        </w:rPr>
        <w:t> and </w:t>
      </w:r>
      <w:r w:rsidRPr="009B01D4">
        <w:rPr>
          <w:b/>
          <w:bCs/>
          <w:lang w:val="en-US"/>
        </w:rPr>
        <w:t>Fentress Naval Airfield</w:t>
      </w:r>
      <w:r w:rsidRPr="009B01D4">
        <w:rPr>
          <w:lang w:val="en-US"/>
        </w:rPr>
        <w:t>.</w:t>
      </w:r>
    </w:p>
    <w:p w14:paraId="0CE338F2" w14:textId="77777777" w:rsidR="009B01D4" w:rsidRPr="009B01D4" w:rsidRDefault="009B01D4" w:rsidP="009B01D4">
      <w:pPr>
        <w:numPr>
          <w:ilvl w:val="1"/>
          <w:numId w:val="1"/>
        </w:numPr>
        <w:spacing w:after="200" w:line="276" w:lineRule="auto"/>
        <w:rPr>
          <w:lang w:val="en-US"/>
        </w:rPr>
      </w:pPr>
      <w:r w:rsidRPr="009B01D4">
        <w:rPr>
          <w:b/>
          <w:bCs/>
          <w:lang w:val="en-US"/>
        </w:rPr>
        <w:t>Purpose</w:t>
      </w:r>
      <w:r w:rsidRPr="009B01D4">
        <w:rPr>
          <w:lang w:val="en-US"/>
        </w:rPr>
        <w:t>: Maintains </w:t>
      </w:r>
      <w:r w:rsidRPr="009B01D4">
        <w:rPr>
          <w:b/>
          <w:bCs/>
          <w:lang w:val="en-US"/>
        </w:rPr>
        <w:t>military flight safety and readiness</w:t>
      </w:r>
      <w:r w:rsidRPr="009B01D4">
        <w:rPr>
          <w:lang w:val="en-US"/>
        </w:rPr>
        <w:t> by restricting incompatible land use—especially dense housing or commercial activity.</w:t>
      </w:r>
    </w:p>
    <w:p w14:paraId="040C61FA" w14:textId="77777777" w:rsidR="009B01D4" w:rsidRPr="009B01D4" w:rsidRDefault="009B01D4" w:rsidP="009B01D4">
      <w:pPr>
        <w:numPr>
          <w:ilvl w:val="1"/>
          <w:numId w:val="1"/>
        </w:numPr>
        <w:spacing w:after="200" w:line="276" w:lineRule="auto"/>
        <w:rPr>
          <w:lang w:val="en-US"/>
        </w:rPr>
      </w:pPr>
      <w:r w:rsidRPr="009B01D4">
        <w:rPr>
          <w:b/>
          <w:bCs/>
          <w:lang w:val="en-US"/>
        </w:rPr>
        <w:t>History</w:t>
      </w:r>
      <w:r w:rsidRPr="009B01D4">
        <w:rPr>
          <w:lang w:val="en-US"/>
        </w:rPr>
        <w:t>: Formally established in </w:t>
      </w:r>
      <w:r w:rsidRPr="009B01D4">
        <w:rPr>
          <w:b/>
          <w:bCs/>
          <w:lang w:val="en-US"/>
        </w:rPr>
        <w:t>1996</w:t>
      </w:r>
      <w:r w:rsidRPr="009B01D4">
        <w:rPr>
          <w:lang w:val="en-US"/>
        </w:rPr>
        <w:t> via an agreement between the </w:t>
      </w:r>
      <w:r w:rsidRPr="009B01D4">
        <w:rPr>
          <w:b/>
          <w:bCs/>
          <w:lang w:val="en-US"/>
        </w:rPr>
        <w:t>City of Virginia Beach</w:t>
      </w:r>
      <w:r w:rsidRPr="009B01D4">
        <w:rPr>
          <w:lang w:val="en-US"/>
        </w:rPr>
        <w:t> and the </w:t>
      </w:r>
      <w:r w:rsidRPr="009B01D4">
        <w:rPr>
          <w:b/>
          <w:bCs/>
          <w:lang w:val="en-US"/>
        </w:rPr>
        <w:t>Department of Defense</w:t>
      </w:r>
      <w:r w:rsidRPr="009B01D4">
        <w:rPr>
          <w:lang w:val="en-US"/>
        </w:rPr>
        <w:t>. It remains a critical part of national defense strategy and local planning.</w:t>
      </w:r>
    </w:p>
    <w:p w14:paraId="6A1760ED" w14:textId="77777777" w:rsidR="009B01D4" w:rsidRPr="009B01D4" w:rsidRDefault="009B01D4" w:rsidP="009B01D4">
      <w:pPr>
        <w:spacing w:after="200" w:line="276" w:lineRule="auto"/>
        <w:rPr>
          <w:lang w:val="en-US"/>
        </w:rPr>
      </w:pPr>
      <w:r w:rsidRPr="009B01D4">
        <w:rPr>
          <w:lang w:val="en-US"/>
        </w:rPr>
        <w:pict w14:anchorId="01236498">
          <v:rect id="_x0000_i1059" style="width:396pt;height:1.5pt" o:hralign="center" o:hrstd="t" o:hr="t" fillcolor="#a0a0a0" stroked="f"/>
        </w:pict>
      </w:r>
    </w:p>
    <w:p w14:paraId="1DEE4B47" w14:textId="77777777" w:rsidR="009B01D4" w:rsidRPr="009B01D4" w:rsidRDefault="009B01D4" w:rsidP="009B01D4">
      <w:pPr>
        <w:spacing w:after="200" w:line="276" w:lineRule="auto"/>
        <w:rPr>
          <w:b/>
          <w:bCs/>
          <w:lang w:val="en-US"/>
        </w:rPr>
      </w:pPr>
      <w:r w:rsidRPr="009B01D4">
        <w:rPr>
          <w:rFonts w:ascii="Segoe UI Emoji" w:hAnsi="Segoe UI Emoji" w:cs="Segoe UI Emoji"/>
          <w:b/>
          <w:bCs/>
          <w:lang w:val="en-US"/>
        </w:rPr>
        <w:t>🔍</w:t>
      </w:r>
      <w:r w:rsidRPr="009B01D4">
        <w:rPr>
          <w:b/>
          <w:bCs/>
          <w:lang w:val="en-US"/>
        </w:rPr>
        <w:t> Why These Tools Matter</w:t>
      </w:r>
    </w:p>
    <w:p w14:paraId="59CA9AD7" w14:textId="77777777" w:rsidR="009B01D4" w:rsidRPr="009B01D4" w:rsidRDefault="009B01D4" w:rsidP="009B01D4">
      <w:pPr>
        <w:spacing w:after="200" w:line="276" w:lineRule="auto"/>
        <w:rPr>
          <w:lang w:val="en-US"/>
        </w:rPr>
      </w:pPr>
      <w:r w:rsidRPr="009B01D4">
        <w:rPr>
          <w:lang w:val="en-US"/>
        </w:rPr>
        <w:t>Each policy tool plays a vital role in:</w:t>
      </w:r>
    </w:p>
    <w:p w14:paraId="4CA2FED9" w14:textId="77777777" w:rsidR="009B01D4" w:rsidRPr="009B01D4" w:rsidRDefault="009B01D4" w:rsidP="009B01D4">
      <w:pPr>
        <w:numPr>
          <w:ilvl w:val="1"/>
          <w:numId w:val="1"/>
        </w:numPr>
        <w:spacing w:after="200" w:line="276" w:lineRule="auto"/>
        <w:rPr>
          <w:lang w:val="en-US"/>
        </w:rPr>
      </w:pPr>
      <w:r w:rsidRPr="009B01D4">
        <w:rPr>
          <w:b/>
          <w:bCs/>
          <w:lang w:val="en-US"/>
        </w:rPr>
        <w:t>Controlling flood risk and overdevelopment</w:t>
      </w:r>
    </w:p>
    <w:p w14:paraId="2417B562" w14:textId="77777777" w:rsidR="009B01D4" w:rsidRPr="009B01D4" w:rsidRDefault="009B01D4" w:rsidP="009B01D4">
      <w:pPr>
        <w:numPr>
          <w:ilvl w:val="1"/>
          <w:numId w:val="1"/>
        </w:numPr>
        <w:spacing w:after="200" w:line="276" w:lineRule="auto"/>
        <w:rPr>
          <w:lang w:val="en-US"/>
        </w:rPr>
      </w:pPr>
      <w:r w:rsidRPr="009B01D4">
        <w:rPr>
          <w:b/>
          <w:bCs/>
          <w:lang w:val="en-US"/>
        </w:rPr>
        <w:t>Protecting drinking water and sensitive ecosystems</w:t>
      </w:r>
    </w:p>
    <w:p w14:paraId="3C962F51" w14:textId="77777777" w:rsidR="009B01D4" w:rsidRPr="009B01D4" w:rsidRDefault="009B01D4" w:rsidP="009B01D4">
      <w:pPr>
        <w:numPr>
          <w:ilvl w:val="1"/>
          <w:numId w:val="1"/>
        </w:numPr>
        <w:spacing w:after="200" w:line="276" w:lineRule="auto"/>
        <w:rPr>
          <w:lang w:val="en-US"/>
        </w:rPr>
      </w:pPr>
      <w:r w:rsidRPr="009B01D4">
        <w:rPr>
          <w:b/>
          <w:bCs/>
          <w:lang w:val="en-US"/>
        </w:rPr>
        <w:t>Maintaining military operations and noise buffers</w:t>
      </w:r>
    </w:p>
    <w:p w14:paraId="68A21189" w14:textId="77777777" w:rsidR="009B01D4" w:rsidRPr="009B01D4" w:rsidRDefault="009B01D4" w:rsidP="009B01D4">
      <w:pPr>
        <w:numPr>
          <w:ilvl w:val="1"/>
          <w:numId w:val="1"/>
        </w:numPr>
        <w:spacing w:after="200" w:line="276" w:lineRule="auto"/>
        <w:rPr>
          <w:lang w:val="en-US"/>
        </w:rPr>
      </w:pPr>
      <w:r w:rsidRPr="009B01D4">
        <w:rPr>
          <w:b/>
          <w:bCs/>
          <w:lang w:val="en-US"/>
        </w:rPr>
        <w:t>Ensuring thoughtful growth over time</w:t>
      </w:r>
    </w:p>
    <w:p w14:paraId="2C87B02E" w14:textId="77777777" w:rsidR="009B01D4" w:rsidRPr="009B01D4" w:rsidRDefault="009B01D4" w:rsidP="009B01D4">
      <w:pPr>
        <w:spacing w:after="200" w:line="276" w:lineRule="auto"/>
        <w:rPr>
          <w:lang w:val="en-US"/>
        </w:rPr>
      </w:pPr>
      <w:r w:rsidRPr="009B01D4">
        <w:rPr>
          <w:lang w:val="en-US"/>
        </w:rPr>
        <w:t>They represent </w:t>
      </w:r>
      <w:r w:rsidRPr="009B01D4">
        <w:rPr>
          <w:b/>
          <w:bCs/>
          <w:lang w:val="en-US"/>
        </w:rPr>
        <w:t>decades of planning, citizen input, and interagency collaboration</w:t>
      </w:r>
      <w:r w:rsidRPr="009B01D4">
        <w:rPr>
          <w:lang w:val="en-US"/>
        </w:rPr>
        <w:t>, and are still in place today to guide responsible decision-making.</w:t>
      </w:r>
    </w:p>
    <w:p w14:paraId="1D15DF34" w14:textId="77777777" w:rsidR="009E20AB" w:rsidRDefault="009E20AB">
      <w:pPr>
        <w:spacing w:after="200" w:line="276" w:lineRule="auto"/>
      </w:pPr>
    </w:p>
    <w:sectPr w:rsidR="009E20A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576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587C3" w14:textId="77777777" w:rsidR="0042734B" w:rsidRDefault="0042734B">
      <w:pPr>
        <w:spacing w:after="0" w:line="240" w:lineRule="auto"/>
      </w:pPr>
      <w:r>
        <w:separator/>
      </w:r>
    </w:p>
  </w:endnote>
  <w:endnote w:type="continuationSeparator" w:id="0">
    <w:p w14:paraId="6319760B" w14:textId="77777777" w:rsidR="0042734B" w:rsidRDefault="00427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CC61D" w14:textId="77777777" w:rsidR="009E20AB" w:rsidRDefault="009E20A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8C32A" w14:textId="67BECC2A" w:rsidR="009E20A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9B01D4">
      <w:rPr>
        <w:noProof/>
        <w:color w:val="000000"/>
      </w:rPr>
      <w:t>2</w:t>
    </w:r>
    <w:r>
      <w:rPr>
        <w:color w:val="000000"/>
      </w:rPr>
      <w:fldChar w:fldCharType="end"/>
    </w:r>
  </w:p>
  <w:p w14:paraId="40F4041D" w14:textId="77777777" w:rsidR="009E20AB" w:rsidRDefault="009E20A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D0BF5" w14:textId="77777777" w:rsidR="009E20AB" w:rsidRDefault="009E20A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D116A" w14:textId="77777777" w:rsidR="0042734B" w:rsidRDefault="0042734B">
      <w:pPr>
        <w:spacing w:after="0" w:line="240" w:lineRule="auto"/>
      </w:pPr>
      <w:r>
        <w:separator/>
      </w:r>
    </w:p>
  </w:footnote>
  <w:footnote w:type="continuationSeparator" w:id="0">
    <w:p w14:paraId="1F06282A" w14:textId="77777777" w:rsidR="0042734B" w:rsidRDefault="004273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288F6" w14:textId="77777777" w:rsidR="009E20A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firstLine="3600"/>
      <w:rPr>
        <w:color w:val="000000"/>
        <w:sz w:val="56"/>
        <w:szCs w:val="56"/>
      </w:rPr>
    </w:pPr>
    <w:r>
      <w:rPr>
        <w:noProof/>
      </w:rPr>
      <w:drawing>
        <wp:anchor distT="0" distB="0" distL="0" distR="0" simplePos="0" relativeHeight="251660288" behindDoc="1" locked="0" layoutInCell="1" hidden="0" allowOverlap="1" wp14:anchorId="33D84955" wp14:editId="0B820851">
          <wp:simplePos x="0" y="0"/>
          <wp:positionH relativeFrom="column">
            <wp:posOffset>-257173</wp:posOffset>
          </wp:positionH>
          <wp:positionV relativeFrom="paragraph">
            <wp:posOffset>-137158</wp:posOffset>
          </wp:positionV>
          <wp:extent cx="1995170" cy="2095500"/>
          <wp:effectExtent l="0" t="0" r="0" b="0"/>
          <wp:wrapNone/>
          <wp:docPr id="950375149" name="image1.jpg" descr="A person in a suit and tie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A person in a suit and tie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95170" cy="2095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A5D249A" w14:textId="77777777" w:rsidR="009E20A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firstLine="3600"/>
      <w:rPr>
        <w:color w:val="000000"/>
        <w:sz w:val="56"/>
        <w:szCs w:val="56"/>
      </w:rPr>
    </w:pPr>
    <w:r>
      <w:rPr>
        <w:color w:val="000000"/>
        <w:sz w:val="56"/>
        <w:szCs w:val="56"/>
      </w:rPr>
      <w:t>Robert M. “Bobby” Dyer</w:t>
    </w:r>
  </w:p>
  <w:p w14:paraId="5251FC9D" w14:textId="77777777" w:rsidR="009E20AB" w:rsidRDefault="009E20AB">
    <w:pPr>
      <w:spacing w:after="0" w:line="240" w:lineRule="auto"/>
      <w:ind w:left="3600"/>
      <w:rPr>
        <w:rFonts w:ascii="Aptos" w:eastAsia="Aptos" w:hAnsi="Aptos" w:cs="Aptos"/>
      </w:rPr>
    </w:pPr>
  </w:p>
  <w:p w14:paraId="2E54F69E" w14:textId="77777777" w:rsidR="009E20AB" w:rsidRDefault="00000000">
    <w:pPr>
      <w:spacing w:after="0" w:line="240" w:lineRule="auto"/>
      <w:ind w:left="3600"/>
      <w:rPr>
        <w:rFonts w:ascii="Aptos" w:eastAsia="Aptos" w:hAnsi="Aptos" w:cs="Aptos"/>
      </w:rPr>
    </w:pPr>
    <w:r>
      <w:rPr>
        <w:rFonts w:ascii="Aptos" w:eastAsia="Aptos" w:hAnsi="Aptos" w:cs="Aptos"/>
      </w:rPr>
      <w:t>Candidate Website: [website]</w:t>
    </w:r>
  </w:p>
  <w:p w14:paraId="0C85CE3D" w14:textId="77777777" w:rsidR="009E20AB" w:rsidRDefault="00000000">
    <w:pPr>
      <w:spacing w:after="0" w:line="240" w:lineRule="auto"/>
      <w:ind w:left="3600"/>
      <w:rPr>
        <w:rFonts w:ascii="Aptos" w:eastAsia="Aptos" w:hAnsi="Aptos" w:cs="Aptos"/>
      </w:rPr>
    </w:pPr>
    <w:r>
      <w:rPr>
        <w:rFonts w:ascii="Aptos" w:eastAsia="Aptos" w:hAnsi="Aptos" w:cs="Aptos"/>
      </w:rPr>
      <w:t>Candidate Email: [Contact Email]</w:t>
    </w:r>
  </w:p>
  <w:p w14:paraId="0445AE8A" w14:textId="77777777" w:rsidR="009E20AB" w:rsidRDefault="00000000">
    <w:pPr>
      <w:spacing w:after="0" w:line="240" w:lineRule="auto"/>
      <w:ind w:left="3600"/>
      <w:rPr>
        <w:rFonts w:ascii="Aptos" w:eastAsia="Aptos" w:hAnsi="Aptos" w:cs="Aptos"/>
      </w:rPr>
    </w:pPr>
    <w:r>
      <w:rPr>
        <w:rFonts w:ascii="Aptos" w:eastAsia="Aptos" w:hAnsi="Aptos" w:cs="Aptos"/>
      </w:rPr>
      <w:t>Candidate Phone: [Contact Number]</w:t>
    </w:r>
  </w:p>
  <w:p w14:paraId="00459657" w14:textId="77777777" w:rsidR="009E20AB" w:rsidRDefault="00000000">
    <w:pPr>
      <w:spacing w:after="0" w:line="240" w:lineRule="auto"/>
      <w:ind w:left="3600"/>
      <w:rPr>
        <w:rFonts w:ascii="Aptos" w:eastAsia="Aptos" w:hAnsi="Aptos" w:cs="Aptos"/>
      </w:rPr>
    </w:pPr>
    <w:r>
      <w:rPr>
        <w:rFonts w:ascii="Aptos" w:eastAsia="Aptos" w:hAnsi="Aptos" w:cs="Aptos"/>
      </w:rPr>
      <w:t>Candidate Social Media: [Handles for platforms like Facebook, Twitter, Instagram]</w:t>
    </w:r>
  </w:p>
  <w:p w14:paraId="08A52F8C" w14:textId="77777777" w:rsidR="009E20AB" w:rsidRDefault="009E20A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441DBA38" w14:textId="77777777" w:rsidR="009E20AB" w:rsidRDefault="009E20A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E16F1" w14:textId="77777777" w:rsidR="009E20A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color w:val="000000"/>
        <w:sz w:val="36"/>
        <w:szCs w:val="36"/>
      </w:rPr>
    </w:pPr>
    <w:r>
      <w:rPr>
        <w:b/>
        <w:color w:val="000000"/>
        <w:sz w:val="36"/>
        <w:szCs w:val="36"/>
      </w:rPr>
      <w:t>Virginia Beach Council of Civic Organizations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1685B504" wp14:editId="227E06AA">
          <wp:simplePos x="0" y="0"/>
          <wp:positionH relativeFrom="column">
            <wp:posOffset>-619123</wp:posOffset>
          </wp:positionH>
          <wp:positionV relativeFrom="paragraph">
            <wp:posOffset>-123823</wp:posOffset>
          </wp:positionV>
          <wp:extent cx="1095375" cy="1040130"/>
          <wp:effectExtent l="0" t="0" r="0" b="0"/>
          <wp:wrapSquare wrapText="bothSides" distT="0" distB="0" distL="114300" distR="114300"/>
          <wp:docPr id="950375148" name="image2.png" descr="Logo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Logo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95375" cy="10401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962F8D6" w14:textId="77777777" w:rsidR="009E20A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t>Helping Civic Organizations Remain Educated for 66 years</w:t>
    </w:r>
  </w:p>
  <w:p w14:paraId="24F1090E" w14:textId="77777777" w:rsidR="009E20A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t>Post Office Box 9252</w:t>
    </w:r>
  </w:p>
  <w:p w14:paraId="4DF5135C" w14:textId="77777777" w:rsidR="009E20A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t>Virginia Beach, VA 23450-9252</w:t>
    </w:r>
  </w:p>
  <w:p w14:paraId="4DF48FE1" w14:textId="77777777" w:rsidR="009E20A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FF"/>
        <w:u w:val="single"/>
      </w:rPr>
    </w:pPr>
    <w:hyperlink r:id="rId2">
      <w:r>
        <w:rPr>
          <w:color w:val="0000FF"/>
          <w:u w:val="single"/>
        </w:rPr>
        <w:t>www.vbcco.org</w:t>
      </w:r>
    </w:hyperlink>
  </w:p>
  <w:p w14:paraId="3A409450" w14:textId="77777777" w:rsidR="009E20AB" w:rsidRDefault="009E20A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933CE" w14:textId="77777777" w:rsidR="009E20A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color w:val="000000"/>
        <w:sz w:val="36"/>
        <w:szCs w:val="36"/>
      </w:rPr>
    </w:pPr>
    <w:r>
      <w:rPr>
        <w:b/>
        <w:color w:val="000000"/>
        <w:sz w:val="36"/>
        <w:szCs w:val="36"/>
      </w:rPr>
      <w:t>Virginia Beach Council of Civic Organizations</w:t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57D261AD" wp14:editId="3CFA1359">
          <wp:simplePos x="0" y="0"/>
          <wp:positionH relativeFrom="column">
            <wp:posOffset>-695324</wp:posOffset>
          </wp:positionH>
          <wp:positionV relativeFrom="paragraph">
            <wp:posOffset>-123824</wp:posOffset>
          </wp:positionV>
          <wp:extent cx="1228725" cy="1233170"/>
          <wp:effectExtent l="0" t="0" r="0" b="0"/>
          <wp:wrapSquare wrapText="bothSides" distT="0" distB="0" distL="114300" distR="114300"/>
          <wp:docPr id="950375147" name="image2.png" descr="Logo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Logo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8725" cy="12331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D6535CA" w14:textId="77777777" w:rsidR="009E20A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t>Helping Civic Organizations Remain Educated for 65 years</w:t>
    </w:r>
  </w:p>
  <w:p w14:paraId="7ECD3296" w14:textId="77777777" w:rsidR="009E20A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t>Post Office Box 9252</w:t>
    </w:r>
  </w:p>
  <w:p w14:paraId="211AAB24" w14:textId="77777777" w:rsidR="009E20A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t>Virginia Beach, VA 23450-9252</w:t>
    </w:r>
  </w:p>
  <w:p w14:paraId="1724474B" w14:textId="77777777" w:rsidR="009E20A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FF"/>
        <w:u w:val="single"/>
      </w:rPr>
    </w:pPr>
    <w:hyperlink r:id="rId2">
      <w:r>
        <w:rPr>
          <w:color w:val="0000FF"/>
          <w:u w:val="single"/>
        </w:rPr>
        <w:t>www.vbcco.org</w:t>
      </w:r>
    </w:hyperlink>
  </w:p>
  <w:p w14:paraId="65CFB919" w14:textId="77777777" w:rsidR="009E20AB" w:rsidRDefault="009E20A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47644E"/>
    <w:multiLevelType w:val="multilevel"/>
    <w:tmpl w:val="BBC03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46123889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0AB"/>
    <w:rsid w:val="0042734B"/>
    <w:rsid w:val="004D167B"/>
    <w:rsid w:val="009B01D4"/>
    <w:rsid w:val="009E2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6D537"/>
  <w15:docId w15:val="{25261C39-739E-4D67-A180-A4C8C18BC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color w:val="2F5496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spacing w:after="150" w:line="240" w:lineRule="auto"/>
      <w:outlineLvl w:val="1"/>
    </w:pPr>
    <w:rPr>
      <w:rFonts w:ascii="Georgia" w:eastAsia="Georgia" w:hAnsi="Georgia" w:cs="Georgia"/>
      <w:color w:val="125EE0"/>
      <w:sz w:val="30"/>
      <w:szCs w:val="3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spacing w:after="150" w:line="240" w:lineRule="auto"/>
      <w:outlineLvl w:val="2"/>
    </w:pPr>
    <w:rPr>
      <w:rFonts w:ascii="Georgia" w:eastAsia="Georgia" w:hAnsi="Georgia" w:cs="Georgia"/>
      <w:color w:val="707070"/>
      <w:sz w:val="23"/>
      <w:szCs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 w:after="0"/>
      <w:outlineLvl w:val="3"/>
    </w:pPr>
    <w:rPr>
      <w:i/>
      <w:color w:val="2F549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color w:val="1F3863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31D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1DBC"/>
  </w:style>
  <w:style w:type="paragraph" w:styleId="Footer">
    <w:name w:val="footer"/>
    <w:basedOn w:val="Normal"/>
    <w:link w:val="FooterChar"/>
    <w:uiPriority w:val="99"/>
    <w:unhideWhenUsed/>
    <w:rsid w:val="00631D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1DBC"/>
  </w:style>
  <w:style w:type="paragraph" w:styleId="ListParagraph">
    <w:name w:val="List Paragraph"/>
    <w:basedOn w:val="Normal"/>
    <w:uiPriority w:val="34"/>
    <w:qFormat/>
    <w:rsid w:val="00631DBC"/>
    <w:pPr>
      <w:ind w:left="720"/>
      <w:contextualSpacing/>
    </w:pPr>
  </w:style>
  <w:style w:type="paragraph" w:customStyle="1" w:styleId="yiv4807686562msolistparagraph">
    <w:name w:val="yiv4807686562msolistparagraph"/>
    <w:basedOn w:val="Normal"/>
    <w:rsid w:val="00DD7D3D"/>
    <w:pPr>
      <w:spacing w:before="100" w:beforeAutospacing="1" w:after="100" w:afterAutospacing="1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C40C44"/>
    <w:rPr>
      <w:rFonts w:ascii="Georgia" w:hAnsi="Georgia" w:cs="Calibri"/>
      <w:color w:val="125EE0"/>
      <w:sz w:val="30"/>
      <w:szCs w:val="3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0C44"/>
    <w:rPr>
      <w:rFonts w:ascii="Georgia" w:hAnsi="Georgia" w:cs="Calibri"/>
      <w:color w:val="707070"/>
      <w:sz w:val="23"/>
      <w:szCs w:val="23"/>
    </w:rPr>
  </w:style>
  <w:style w:type="paragraph" w:customStyle="1" w:styleId="m-676343221007706635msolistparagraph">
    <w:name w:val="m_-676343221007706635msolistparagraph"/>
    <w:basedOn w:val="Normal"/>
    <w:rsid w:val="008A453A"/>
    <w:pPr>
      <w:spacing w:before="100" w:beforeAutospacing="1" w:after="100" w:afterAutospacing="1" w:line="240" w:lineRule="auto"/>
    </w:pPr>
  </w:style>
  <w:style w:type="character" w:styleId="Hyperlink">
    <w:name w:val="Hyperlink"/>
    <w:basedOn w:val="DefaultParagraphFont"/>
    <w:uiPriority w:val="99"/>
    <w:unhideWhenUsed/>
    <w:rsid w:val="00BA72E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560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12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5562D8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3B01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1Char">
    <w:name w:val="Heading 1 Char"/>
    <w:basedOn w:val="DefaultParagraphFont"/>
    <w:link w:val="Heading1"/>
    <w:uiPriority w:val="9"/>
    <w:rsid w:val="008408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vbcco.org" TargetMode="External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vbcco.org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8ZBkcP2hEQvESdzWqEu0HeoGmw==">CgMxLjA4AHIhMWVlU1ZYRUFFX056UHNQVEJ3bjBlMm9Ya1lFNDRNelA0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2036</Characters>
  <Application>Microsoft Office Word</Application>
  <DocSecurity>0</DocSecurity>
  <Lines>16</Lines>
  <Paragraphs>4</Paragraphs>
  <ScaleCrop>false</ScaleCrop>
  <Company>Computer Networks, Inc.</Company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R. “Rick” Boyles</dc:creator>
  <cp:lastModifiedBy>James R. “Rick” Boyles</cp:lastModifiedBy>
  <cp:revision>2</cp:revision>
  <dcterms:created xsi:type="dcterms:W3CDTF">2025-08-18T12:17:00Z</dcterms:created>
  <dcterms:modified xsi:type="dcterms:W3CDTF">2025-08-18T12:17:00Z</dcterms:modified>
</cp:coreProperties>
</file>