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C3AE5" w14:textId="77777777" w:rsidR="00FF3F27" w:rsidRDefault="00FF3F27" w:rsidP="00FF3F27">
      <w:pPr>
        <w:spacing w:after="0" w:line="240" w:lineRule="auto"/>
        <w:jc w:val="center"/>
        <w:rPr>
          <w:b/>
          <w:bCs/>
          <w:sz w:val="52"/>
          <w:szCs w:val="52"/>
          <w:lang w:val="en-US"/>
        </w:rPr>
      </w:pPr>
      <w:r w:rsidRPr="00FF3F27">
        <w:rPr>
          <w:b/>
          <w:bCs/>
          <w:sz w:val="52"/>
          <w:szCs w:val="52"/>
          <w:lang w:val="en-US"/>
        </w:rPr>
        <w:t xml:space="preserve">Light Industrial Uses in </w:t>
      </w:r>
    </w:p>
    <w:p w14:paraId="2FA90A38" w14:textId="2DAE2708" w:rsidR="00FF3F27" w:rsidRPr="00FF3F27" w:rsidRDefault="00FF3F27" w:rsidP="00FF3F27">
      <w:pPr>
        <w:spacing w:after="0" w:line="240" w:lineRule="auto"/>
        <w:jc w:val="center"/>
        <w:rPr>
          <w:b/>
          <w:bCs/>
          <w:sz w:val="52"/>
          <w:szCs w:val="52"/>
          <w:lang w:val="en-US"/>
        </w:rPr>
      </w:pPr>
      <w:r w:rsidRPr="00FF3F27">
        <w:rPr>
          <w:b/>
          <w:bCs/>
          <w:sz w:val="52"/>
          <w:szCs w:val="52"/>
          <w:lang w:val="en-US"/>
        </w:rPr>
        <w:t>Central Princess Anne Commons</w:t>
      </w:r>
    </w:p>
    <w:p w14:paraId="02F9C237" w14:textId="77777777" w:rsidR="00FF3F27" w:rsidRPr="00FF3F27" w:rsidRDefault="00FF3F27" w:rsidP="00FF3F27">
      <w:pPr>
        <w:spacing w:after="0" w:line="240" w:lineRule="auto"/>
        <w:rPr>
          <w:lang w:val="en-US"/>
        </w:rPr>
      </w:pPr>
      <w:r w:rsidRPr="00FF3F27">
        <w:rPr>
          <w:lang w:val="en-US"/>
        </w:rPr>
        <w:pict w14:anchorId="05A17D0C">
          <v:rect id="_x0000_i1055" style="width:0;height:1.5pt" o:hralign="center" o:hrstd="t" o:hr="t" fillcolor="#a0a0a0" stroked="f"/>
        </w:pict>
      </w:r>
    </w:p>
    <w:p w14:paraId="429C707A" w14:textId="77777777" w:rsidR="00FF3F27" w:rsidRPr="00FF3F27" w:rsidRDefault="00FF3F27" w:rsidP="00FF3F27">
      <w:pPr>
        <w:spacing w:after="200" w:line="276" w:lineRule="auto"/>
        <w:rPr>
          <w:b/>
          <w:bCs/>
          <w:lang w:val="en-US"/>
        </w:rPr>
      </w:pPr>
      <w:r w:rsidRPr="00FF3F27">
        <w:rPr>
          <w:rFonts w:ascii="Segoe UI Emoji" w:hAnsi="Segoe UI Emoji" w:cs="Segoe UI Emoji"/>
          <w:b/>
          <w:bCs/>
          <w:lang w:val="en-US"/>
        </w:rPr>
        <w:t>📌</w:t>
      </w:r>
      <w:r w:rsidRPr="00FF3F27">
        <w:rPr>
          <w:b/>
          <w:bCs/>
          <w:lang w:val="en-US"/>
        </w:rPr>
        <w:t xml:space="preserve"> Executive Summary</w:t>
      </w:r>
    </w:p>
    <w:p w14:paraId="0693D084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lang w:val="en-US"/>
        </w:rPr>
        <w:t xml:space="preserve">The </w:t>
      </w:r>
      <w:r w:rsidRPr="00FF3F27">
        <w:rPr>
          <w:b/>
          <w:bCs/>
          <w:lang w:val="en-US"/>
        </w:rPr>
        <w:t>2015 Transition Area Design Guidelines</w:t>
      </w:r>
      <w:r w:rsidRPr="00FF3F27">
        <w:rPr>
          <w:lang w:val="en-US"/>
        </w:rPr>
        <w:t xml:space="preserve"> permitted </w:t>
      </w:r>
      <w:r w:rsidRPr="00FF3F27">
        <w:rPr>
          <w:b/>
          <w:bCs/>
          <w:lang w:val="en-US"/>
        </w:rPr>
        <w:t>light industrial uses</w:t>
      </w:r>
      <w:r w:rsidRPr="00FF3F27">
        <w:rPr>
          <w:lang w:val="en-US"/>
        </w:rPr>
        <w:t xml:space="preserve"> (business incubators, flex office/warehouse) in Central Princess Anne Commons as a compatible alternative to residential development within AICUZ noise zones. By </w:t>
      </w:r>
      <w:r w:rsidRPr="00FF3F27">
        <w:rPr>
          <w:b/>
          <w:bCs/>
          <w:lang w:val="en-US"/>
        </w:rPr>
        <w:t>2017</w:t>
      </w:r>
      <w:r w:rsidRPr="00FF3F27">
        <w:rPr>
          <w:lang w:val="en-US"/>
        </w:rPr>
        <w:t xml:space="preserve">, the City’s </w:t>
      </w:r>
      <w:r w:rsidRPr="00FF3F27">
        <w:rPr>
          <w:b/>
          <w:bCs/>
          <w:lang w:val="en-US"/>
        </w:rPr>
        <w:t>Interfacility Traffic Area &amp; Vicinity Master Plan</w:t>
      </w:r>
      <w:r w:rsidRPr="00FF3F27">
        <w:rPr>
          <w:lang w:val="en-US"/>
        </w:rPr>
        <w:t xml:space="preserve"> removed this option, reflecting a shift toward </w:t>
      </w:r>
      <w:r w:rsidRPr="00FF3F27">
        <w:rPr>
          <w:b/>
          <w:bCs/>
          <w:lang w:val="en-US"/>
        </w:rPr>
        <w:t>public ownership, agriculture, research, recreation, and municipal facilities</w:t>
      </w:r>
      <w:r w:rsidRPr="00FF3F27">
        <w:rPr>
          <w:lang w:val="en-US"/>
        </w:rPr>
        <w:t>.</w:t>
      </w:r>
    </w:p>
    <w:p w14:paraId="6FB31A69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lang w:val="en-US"/>
        </w:rPr>
        <w:pict w14:anchorId="1F46F81F">
          <v:rect id="_x0000_i1056" style="width:0;height:1.5pt" o:hralign="center" o:hrstd="t" o:hr="t" fillcolor="#a0a0a0" stroked="f"/>
        </w:pict>
      </w:r>
    </w:p>
    <w:p w14:paraId="450932C5" w14:textId="77777777" w:rsidR="00FF3F27" w:rsidRPr="00FF3F27" w:rsidRDefault="00FF3F27" w:rsidP="00FF3F27">
      <w:pPr>
        <w:spacing w:after="200" w:line="276" w:lineRule="auto"/>
        <w:rPr>
          <w:b/>
          <w:bCs/>
          <w:lang w:val="en-US"/>
        </w:rPr>
      </w:pPr>
      <w:r w:rsidRPr="00FF3F27">
        <w:rPr>
          <w:rFonts w:ascii="Segoe UI Emoji" w:hAnsi="Segoe UI Emoji" w:cs="Segoe UI Emoji"/>
          <w:b/>
          <w:bCs/>
          <w:lang w:val="en-US"/>
        </w:rPr>
        <w:t>⚖️</w:t>
      </w:r>
      <w:r w:rsidRPr="00FF3F27">
        <w:rPr>
          <w:b/>
          <w:bCs/>
          <w:lang w:val="en-US"/>
        </w:rPr>
        <w:t xml:space="preserve"> 2015 Transition Area Design Guidelines</w:t>
      </w:r>
    </w:p>
    <w:p w14:paraId="0CED7687" w14:textId="77777777" w:rsidR="00FF3F27" w:rsidRPr="00FF3F27" w:rsidRDefault="00FF3F27" w:rsidP="00FF3F27">
      <w:pPr>
        <w:numPr>
          <w:ilvl w:val="0"/>
          <w:numId w:val="1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Context:</w:t>
      </w:r>
    </w:p>
    <w:p w14:paraId="0CE8CD0C" w14:textId="77777777" w:rsidR="00FF3F27" w:rsidRPr="00FF3F27" w:rsidRDefault="00FF3F27" w:rsidP="00FF3F27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 xml:space="preserve">Central Princess Anne Commons parcels are rural, cultivated, and constrained by </w:t>
      </w:r>
      <w:r w:rsidRPr="00FF3F27">
        <w:rPr>
          <w:b/>
          <w:bCs/>
          <w:lang w:val="en-US"/>
        </w:rPr>
        <w:t>jet noise and floodplains</w:t>
      </w:r>
      <w:r w:rsidRPr="00FF3F27">
        <w:rPr>
          <w:lang w:val="en-US"/>
        </w:rPr>
        <w:t>.</w:t>
      </w:r>
    </w:p>
    <w:p w14:paraId="5A0EFB15" w14:textId="77777777" w:rsidR="00FF3F27" w:rsidRPr="00FF3F27" w:rsidRDefault="00FF3F27" w:rsidP="00FF3F27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Parcel consolidation (&gt;15 acres) was encouraged.</w:t>
      </w:r>
    </w:p>
    <w:p w14:paraId="0BC3378A" w14:textId="77777777" w:rsidR="00FF3F27" w:rsidRPr="00FF3F27" w:rsidRDefault="00FF3F27" w:rsidP="00FF3F27">
      <w:pPr>
        <w:numPr>
          <w:ilvl w:val="0"/>
          <w:numId w:val="1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Recommendations:</w:t>
      </w:r>
    </w:p>
    <w:p w14:paraId="5B36539E" w14:textId="77777777" w:rsidR="00FF3F27" w:rsidRPr="00FF3F27" w:rsidRDefault="00FF3F27" w:rsidP="00FF3F27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Corporate office, institutional, and research development.</w:t>
      </w:r>
    </w:p>
    <w:p w14:paraId="4E32ADDD" w14:textId="77777777" w:rsidR="00FF3F27" w:rsidRPr="00FF3F27" w:rsidRDefault="00FF3F27" w:rsidP="00FF3F27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Light industrial uses</w:t>
      </w:r>
      <w:r w:rsidRPr="00FF3F27">
        <w:rPr>
          <w:lang w:val="en-US"/>
        </w:rPr>
        <w:t xml:space="preserve"> (incubator, flex office/warehouse) permitted outside ITA-designated special areas.</w:t>
      </w:r>
    </w:p>
    <w:p w14:paraId="0944CC7B" w14:textId="77777777" w:rsidR="00FF3F27" w:rsidRPr="00FF3F27" w:rsidRDefault="00FF3F27" w:rsidP="00FF3F27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Residential limited to by-right density.</w:t>
      </w:r>
    </w:p>
    <w:p w14:paraId="2F655251" w14:textId="77777777" w:rsidR="00FF3F27" w:rsidRPr="00FF3F27" w:rsidRDefault="00FF3F27" w:rsidP="00FF3F27">
      <w:pPr>
        <w:numPr>
          <w:ilvl w:val="1"/>
          <w:numId w:val="1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Continued agricultural and equestrian uses outside the core.</w:t>
      </w:r>
    </w:p>
    <w:p w14:paraId="5D13B9C7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rFonts w:ascii="Segoe UI Symbol" w:hAnsi="Segoe UI Symbol" w:cs="Segoe UI Symbol"/>
          <w:b/>
          <w:bCs/>
          <w:lang w:val="en-US"/>
        </w:rPr>
        <w:t>➡</w:t>
      </w:r>
      <w:r w:rsidRPr="00FF3F27">
        <w:rPr>
          <w:b/>
          <w:bCs/>
          <w:lang w:val="en-US"/>
        </w:rPr>
        <w:t xml:space="preserve"> Policy Approach:</w:t>
      </w:r>
      <w:r w:rsidRPr="00FF3F27">
        <w:rPr>
          <w:lang w:val="en-US"/>
        </w:rPr>
        <w:t xml:space="preserve"> Light industrial seen as a tool for job growth, land use compatibility, and buffering in noise-constrained areas.</w:t>
      </w:r>
    </w:p>
    <w:p w14:paraId="58CAE4A7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lang w:val="en-US"/>
        </w:rPr>
        <w:pict w14:anchorId="00A99109">
          <v:rect id="_x0000_i1057" style="width:0;height:1.5pt" o:hralign="center" o:hrstd="t" o:hr="t" fillcolor="#a0a0a0" stroked="f"/>
        </w:pict>
      </w:r>
    </w:p>
    <w:p w14:paraId="7AB2C0F1" w14:textId="77777777" w:rsidR="00FF3F27" w:rsidRPr="00FF3F27" w:rsidRDefault="00FF3F27" w:rsidP="00FF3F27">
      <w:pPr>
        <w:spacing w:after="200" w:line="276" w:lineRule="auto"/>
        <w:rPr>
          <w:b/>
          <w:bCs/>
          <w:lang w:val="en-US"/>
        </w:rPr>
      </w:pPr>
      <w:r w:rsidRPr="00FF3F27">
        <w:rPr>
          <w:rFonts w:ascii="Segoe UI Emoji" w:hAnsi="Segoe UI Emoji" w:cs="Segoe UI Emoji"/>
          <w:b/>
          <w:bCs/>
          <w:lang w:val="en-US"/>
        </w:rPr>
        <w:t>📖</w:t>
      </w:r>
      <w:r w:rsidRPr="00FF3F27">
        <w:rPr>
          <w:b/>
          <w:bCs/>
          <w:lang w:val="en-US"/>
        </w:rPr>
        <w:t xml:space="preserve"> 2017 ITA &amp; Vicinity Master Plan</w:t>
      </w:r>
    </w:p>
    <w:p w14:paraId="36A0DB6E" w14:textId="77777777" w:rsidR="00FF3F27" w:rsidRPr="00FF3F27" w:rsidRDefault="00FF3F27" w:rsidP="00FF3F27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Context:</w:t>
      </w:r>
    </w:p>
    <w:p w14:paraId="540EEACB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lastRenderedPageBreak/>
        <w:t>City acquired ~60% of ITA/PAC land in partnership with U.S. Navy.</w:t>
      </w:r>
    </w:p>
    <w:p w14:paraId="5B5253CC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 xml:space="preserve">Development priorities shifted to </w:t>
      </w:r>
      <w:r w:rsidRPr="00FF3F27">
        <w:rPr>
          <w:b/>
          <w:bCs/>
          <w:lang w:val="en-US"/>
        </w:rPr>
        <w:t>public use and compatibility</w:t>
      </w:r>
      <w:r w:rsidRPr="00FF3F27">
        <w:rPr>
          <w:lang w:val="en-US"/>
        </w:rPr>
        <w:t>.</w:t>
      </w:r>
    </w:p>
    <w:p w14:paraId="0065A217" w14:textId="77777777" w:rsidR="00FF3F27" w:rsidRPr="00FF3F27" w:rsidRDefault="00FF3F27" w:rsidP="00FF3F27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Land Use Focus:</w:t>
      </w:r>
    </w:p>
    <w:p w14:paraId="5607EBD3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Bio-Tech Park (research &amp; education).</w:t>
      </w:r>
    </w:p>
    <w:p w14:paraId="08EEE296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Agricultural production &amp; preservation.</w:t>
      </w:r>
    </w:p>
    <w:p w14:paraId="4F7749B1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Sports and recreation complexes.</w:t>
      </w:r>
    </w:p>
    <w:p w14:paraId="2E52E3CB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Municipal services facilities.</w:t>
      </w:r>
    </w:p>
    <w:p w14:paraId="3CF9AA14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>Conservation and open space.</w:t>
      </w:r>
    </w:p>
    <w:p w14:paraId="50FE981B" w14:textId="77777777" w:rsidR="00FF3F27" w:rsidRPr="00FF3F27" w:rsidRDefault="00FF3F27" w:rsidP="00FF3F27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Industrial Reference:</w:t>
      </w:r>
    </w:p>
    <w:p w14:paraId="521E31A7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 xml:space="preserve">“Existing Industrial” appears in map legends but </w:t>
      </w:r>
      <w:r w:rsidRPr="00FF3F27">
        <w:rPr>
          <w:b/>
          <w:bCs/>
          <w:lang w:val="en-US"/>
        </w:rPr>
        <w:t>no parcels designated</w:t>
      </w:r>
      <w:r w:rsidRPr="00FF3F27">
        <w:rPr>
          <w:lang w:val="en-US"/>
        </w:rPr>
        <w:t>.</w:t>
      </w:r>
    </w:p>
    <w:p w14:paraId="6B63B872" w14:textId="77777777" w:rsidR="00FF3F27" w:rsidRPr="00FF3F27" w:rsidRDefault="00FF3F27" w:rsidP="00FF3F27">
      <w:pPr>
        <w:numPr>
          <w:ilvl w:val="1"/>
          <w:numId w:val="2"/>
        </w:numPr>
        <w:spacing w:after="200" w:line="276" w:lineRule="auto"/>
        <w:rPr>
          <w:lang w:val="en-US"/>
        </w:rPr>
      </w:pPr>
      <w:r w:rsidRPr="00FF3F27">
        <w:rPr>
          <w:lang w:val="en-US"/>
        </w:rPr>
        <w:t xml:space="preserve">Only text use: small farms struggling against </w:t>
      </w:r>
      <w:r w:rsidRPr="00FF3F27">
        <w:rPr>
          <w:b/>
          <w:bCs/>
          <w:lang w:val="en-US"/>
        </w:rPr>
        <w:t>industrial-scale agriculture</w:t>
      </w:r>
      <w:r w:rsidRPr="00FF3F27">
        <w:rPr>
          <w:lang w:val="en-US"/>
        </w:rPr>
        <w:t>.</w:t>
      </w:r>
    </w:p>
    <w:p w14:paraId="6BA7D304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rFonts w:ascii="Segoe UI Symbol" w:hAnsi="Segoe UI Symbol" w:cs="Segoe UI Symbol"/>
          <w:b/>
          <w:bCs/>
          <w:lang w:val="en-US"/>
        </w:rPr>
        <w:t>➡</w:t>
      </w:r>
      <w:r w:rsidRPr="00FF3F27">
        <w:rPr>
          <w:b/>
          <w:bCs/>
          <w:lang w:val="en-US"/>
        </w:rPr>
        <w:t xml:space="preserve"> Policy Approach:</w:t>
      </w:r>
      <w:r w:rsidRPr="00FF3F27">
        <w:rPr>
          <w:lang w:val="en-US"/>
        </w:rPr>
        <w:t xml:space="preserve"> Industrial/light industrial removed; emphasis on conservation, research, agriculture, recreation, and municipal infrastructure.</w:t>
      </w:r>
    </w:p>
    <w:p w14:paraId="205725FC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lang w:val="en-US"/>
        </w:rPr>
        <w:pict w14:anchorId="042DBC99">
          <v:rect id="_x0000_i1058" style="width:0;height:1.5pt" o:hralign="center" o:hrstd="t" o:hr="t" fillcolor="#a0a0a0" stroked="f"/>
        </w:pict>
      </w:r>
    </w:p>
    <w:p w14:paraId="4A58ECD1" w14:textId="77777777" w:rsidR="00FF3F27" w:rsidRPr="00FF3F27" w:rsidRDefault="00FF3F27" w:rsidP="00FF3F27">
      <w:pPr>
        <w:spacing w:after="200" w:line="276" w:lineRule="auto"/>
        <w:rPr>
          <w:b/>
          <w:bCs/>
          <w:lang w:val="en-US"/>
        </w:rPr>
      </w:pPr>
      <w:r w:rsidRPr="00FF3F27">
        <w:rPr>
          <w:rFonts w:ascii="Segoe UI Emoji" w:hAnsi="Segoe UI Emoji" w:cs="Segoe UI Emoji"/>
          <w:b/>
          <w:bCs/>
          <w:lang w:val="en-US"/>
        </w:rPr>
        <w:t>🔑</w:t>
      </w:r>
      <w:r w:rsidRPr="00FF3F27">
        <w:rPr>
          <w:b/>
          <w:bCs/>
          <w:lang w:val="en-US"/>
        </w:rPr>
        <w:t xml:space="preserve"> Policy Implications</w:t>
      </w:r>
    </w:p>
    <w:p w14:paraId="5081F793" w14:textId="77777777" w:rsidR="00FF3F27" w:rsidRPr="00FF3F27" w:rsidRDefault="00FF3F27" w:rsidP="00FF3F27">
      <w:pPr>
        <w:numPr>
          <w:ilvl w:val="0"/>
          <w:numId w:val="3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2015:</w:t>
      </w:r>
      <w:r w:rsidRPr="00FF3F27">
        <w:rPr>
          <w:lang w:val="en-US"/>
        </w:rPr>
        <w:t xml:space="preserve"> Light industrial = economic development option under AICUZ limits.</w:t>
      </w:r>
    </w:p>
    <w:p w14:paraId="2503A097" w14:textId="77777777" w:rsidR="00FF3F27" w:rsidRPr="00FF3F27" w:rsidRDefault="00FF3F27" w:rsidP="00FF3F27">
      <w:pPr>
        <w:numPr>
          <w:ilvl w:val="0"/>
          <w:numId w:val="3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2017:</w:t>
      </w:r>
      <w:r w:rsidRPr="00FF3F27">
        <w:rPr>
          <w:lang w:val="en-US"/>
        </w:rPr>
        <w:t xml:space="preserve"> Industrial removed; City strategy emphasizes </w:t>
      </w:r>
      <w:r w:rsidRPr="00FF3F27">
        <w:rPr>
          <w:b/>
          <w:bCs/>
          <w:lang w:val="en-US"/>
        </w:rPr>
        <w:t>public ownership, compatibility, and sustainability</w:t>
      </w:r>
      <w:r w:rsidRPr="00FF3F27">
        <w:rPr>
          <w:lang w:val="en-US"/>
        </w:rPr>
        <w:t>.</w:t>
      </w:r>
    </w:p>
    <w:p w14:paraId="173480B2" w14:textId="77777777" w:rsidR="00FF3F27" w:rsidRPr="00FF3F27" w:rsidRDefault="00FF3F27" w:rsidP="00FF3F27">
      <w:pPr>
        <w:numPr>
          <w:ilvl w:val="0"/>
          <w:numId w:val="3"/>
        </w:numPr>
        <w:spacing w:after="200" w:line="276" w:lineRule="auto"/>
        <w:rPr>
          <w:lang w:val="en-US"/>
        </w:rPr>
      </w:pPr>
      <w:r w:rsidRPr="00FF3F27">
        <w:rPr>
          <w:b/>
          <w:bCs/>
          <w:lang w:val="en-US"/>
        </w:rPr>
        <w:t>Net Effect:</w:t>
      </w:r>
      <w:r w:rsidRPr="00FF3F27">
        <w:rPr>
          <w:lang w:val="en-US"/>
        </w:rPr>
        <w:t xml:space="preserve"> Transition from </w:t>
      </w:r>
      <w:r w:rsidRPr="00FF3F27">
        <w:rPr>
          <w:b/>
          <w:bCs/>
          <w:lang w:val="en-US"/>
        </w:rPr>
        <w:t>private-sector flex uses</w:t>
      </w:r>
      <w:r w:rsidRPr="00FF3F27">
        <w:rPr>
          <w:lang w:val="en-US"/>
        </w:rPr>
        <w:t xml:space="preserve"> to </w:t>
      </w:r>
      <w:r w:rsidRPr="00FF3F27">
        <w:rPr>
          <w:b/>
          <w:bCs/>
          <w:lang w:val="en-US"/>
        </w:rPr>
        <w:t>public-controlled uses</w:t>
      </w:r>
      <w:r w:rsidRPr="00FF3F27">
        <w:rPr>
          <w:lang w:val="en-US"/>
        </w:rPr>
        <w:t xml:space="preserve"> that minimize conflicts with NAS Oceana/Fentress operations.</w:t>
      </w:r>
    </w:p>
    <w:p w14:paraId="5439FD36" w14:textId="77777777" w:rsidR="00FF3F27" w:rsidRPr="00FF3F27" w:rsidRDefault="00FF3F27" w:rsidP="00FF3F27">
      <w:pPr>
        <w:spacing w:after="200" w:line="276" w:lineRule="auto"/>
        <w:rPr>
          <w:lang w:val="en-US"/>
        </w:rPr>
      </w:pPr>
      <w:r w:rsidRPr="00FF3F27">
        <w:rPr>
          <w:lang w:val="en-US"/>
        </w:rPr>
        <w:pict w14:anchorId="69A8E125">
          <v:rect id="_x0000_i1059" style="width:0;height:1.5pt" o:hralign="center" o:hrstd="t" o:hr="t" fillcolor="#a0a0a0" stroked="f"/>
        </w:pict>
      </w:r>
    </w:p>
    <w:p w14:paraId="0647E604" w14:textId="6E681B64" w:rsidR="00D063A3" w:rsidRDefault="00FF3F27">
      <w:pPr>
        <w:spacing w:after="200" w:line="276" w:lineRule="auto"/>
      </w:pPr>
      <w:r w:rsidRPr="00FF3F27">
        <w:rPr>
          <w:rFonts w:ascii="Segoe UI Emoji" w:hAnsi="Segoe UI Emoji" w:cs="Segoe UI Emoji"/>
          <w:lang w:val="en-US"/>
        </w:rPr>
        <w:t>✅</w:t>
      </w:r>
      <w:r w:rsidRPr="00FF3F27">
        <w:rPr>
          <w:lang w:val="en-US"/>
        </w:rPr>
        <w:t xml:space="preserve"> </w:t>
      </w:r>
      <w:r w:rsidRPr="00FF3F27">
        <w:rPr>
          <w:b/>
          <w:bCs/>
          <w:lang w:val="en-US"/>
        </w:rPr>
        <w:t>Conclusion:</w:t>
      </w:r>
      <w:r w:rsidRPr="00FF3F27">
        <w:rPr>
          <w:lang w:val="en-US"/>
        </w:rPr>
        <w:br/>
        <w:t xml:space="preserve">The evolution from </w:t>
      </w:r>
      <w:r w:rsidRPr="00FF3F27">
        <w:rPr>
          <w:b/>
          <w:bCs/>
          <w:lang w:val="en-US"/>
        </w:rPr>
        <w:t>allowing light industrial (2015)</w:t>
      </w:r>
      <w:r w:rsidRPr="00FF3F27">
        <w:rPr>
          <w:lang w:val="en-US"/>
        </w:rPr>
        <w:t xml:space="preserve"> to </w:t>
      </w:r>
      <w:r w:rsidRPr="00FF3F27">
        <w:rPr>
          <w:b/>
          <w:bCs/>
          <w:lang w:val="en-US"/>
        </w:rPr>
        <w:t>eliminating it (2017)</w:t>
      </w:r>
      <w:r w:rsidRPr="00FF3F27">
        <w:rPr>
          <w:lang w:val="en-US"/>
        </w:rPr>
        <w:t xml:space="preserve"> demonstrates the City’s strategic shift: land once viewed as a place for private incubators and flex space is now prioritized for </w:t>
      </w:r>
      <w:r w:rsidRPr="00FF3F27">
        <w:rPr>
          <w:b/>
          <w:bCs/>
          <w:lang w:val="en-US"/>
        </w:rPr>
        <w:t>agriculture, research, recreation, and municipal functions</w:t>
      </w:r>
      <w:r w:rsidRPr="00FF3F27">
        <w:rPr>
          <w:lang w:val="en-US"/>
        </w:rPr>
        <w:t xml:space="preserve"> consistent with AICUZ and long-term public benefit.</w:t>
      </w:r>
    </w:p>
    <w:sectPr w:rsidR="00D063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45291" w14:textId="77777777" w:rsidR="008D6CDC" w:rsidRDefault="008D6CDC">
      <w:pPr>
        <w:spacing w:after="0" w:line="240" w:lineRule="auto"/>
      </w:pPr>
      <w:r>
        <w:separator/>
      </w:r>
    </w:p>
  </w:endnote>
  <w:endnote w:type="continuationSeparator" w:id="0">
    <w:p w14:paraId="7BA94EA0" w14:textId="77777777" w:rsidR="008D6CDC" w:rsidRDefault="008D6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6659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24691" w14:textId="0D93554B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F3F27">
      <w:rPr>
        <w:noProof/>
        <w:color w:val="000000"/>
      </w:rPr>
      <w:t>2</w:t>
    </w:r>
    <w:r>
      <w:rPr>
        <w:color w:val="000000"/>
      </w:rPr>
      <w:fldChar w:fldCharType="end"/>
    </w:r>
  </w:p>
  <w:p w14:paraId="1C69E30C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E158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7B56" w14:textId="77777777" w:rsidR="008D6CDC" w:rsidRDefault="008D6CDC">
      <w:pPr>
        <w:spacing w:after="0" w:line="240" w:lineRule="auto"/>
      </w:pPr>
      <w:r>
        <w:separator/>
      </w:r>
    </w:p>
  </w:footnote>
  <w:footnote w:type="continuationSeparator" w:id="0">
    <w:p w14:paraId="18F49C36" w14:textId="77777777" w:rsidR="008D6CDC" w:rsidRDefault="008D6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7D56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3661C4D5" wp14:editId="5FC8F4DF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00BB5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7E1DF2D2" w14:textId="77777777" w:rsidR="00D063A3" w:rsidRDefault="00D063A3">
    <w:pPr>
      <w:spacing w:after="0" w:line="240" w:lineRule="auto"/>
      <w:ind w:left="3600"/>
      <w:rPr>
        <w:rFonts w:ascii="Aptos" w:eastAsia="Aptos" w:hAnsi="Aptos" w:cs="Aptos"/>
      </w:rPr>
    </w:pPr>
  </w:p>
  <w:p w14:paraId="5DF96659" w14:textId="77777777" w:rsidR="00D063A3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43D856E6" w14:textId="77777777" w:rsidR="00D063A3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5D8A84FA" w14:textId="77777777" w:rsidR="00D063A3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261C5957" w14:textId="77777777" w:rsidR="00D063A3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289C3560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BB86464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8D84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3B66F284" wp14:editId="7772942E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11C3A5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668B3761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05D8650D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59A94AE9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4EABA668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406F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1ABADF0" wp14:editId="323C822A">
          <wp:simplePos x="0" y="0"/>
          <wp:positionH relativeFrom="column">
            <wp:posOffset>-695324</wp:posOffset>
          </wp:positionH>
          <wp:positionV relativeFrom="paragraph">
            <wp:posOffset>-123824</wp:posOffset>
          </wp:positionV>
          <wp:extent cx="1228725" cy="1233170"/>
          <wp:effectExtent l="0" t="0" r="0" b="0"/>
          <wp:wrapSquare wrapText="bothSides" distT="0" distB="0" distL="114300" distR="114300"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FCED305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65 years</w:t>
    </w:r>
  </w:p>
  <w:p w14:paraId="0C82217D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774B7480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24C14644" w14:textId="77777777" w:rsidR="00D063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25B16A9B" w14:textId="77777777" w:rsidR="00D063A3" w:rsidRDefault="00D063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B8F"/>
    <w:multiLevelType w:val="multilevel"/>
    <w:tmpl w:val="1F765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76E8A"/>
    <w:multiLevelType w:val="multilevel"/>
    <w:tmpl w:val="F0B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1744D2"/>
    <w:multiLevelType w:val="multilevel"/>
    <w:tmpl w:val="D5A6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06332">
    <w:abstractNumId w:val="2"/>
  </w:num>
  <w:num w:numId="2" w16cid:durableId="452555560">
    <w:abstractNumId w:val="1"/>
  </w:num>
  <w:num w:numId="3" w16cid:durableId="44966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A3"/>
    <w:rsid w:val="001E7737"/>
    <w:rsid w:val="008D6CDC"/>
    <w:rsid w:val="00D063A3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408A"/>
  <w15:docId w15:val="{9F7166FF-9D52-4742-9BCE-D5D1AD8D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2119</Characters>
  <Application>Microsoft Office Word</Application>
  <DocSecurity>0</DocSecurity>
  <Lines>17</Lines>
  <Paragraphs>4</Paragraphs>
  <ScaleCrop>false</ScaleCrop>
  <Company>Computer Networks, Inc.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2</cp:revision>
  <dcterms:created xsi:type="dcterms:W3CDTF">2025-08-19T18:01:00Z</dcterms:created>
  <dcterms:modified xsi:type="dcterms:W3CDTF">2025-08-19T18:01:00Z</dcterms:modified>
</cp:coreProperties>
</file>