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20513" w14:textId="77777777" w:rsidR="00280976" w:rsidRPr="00280976" w:rsidRDefault="00280976" w:rsidP="00280976">
      <w:pPr>
        <w:spacing w:after="0" w:line="240" w:lineRule="auto"/>
        <w:jc w:val="center"/>
        <w:rPr>
          <w:b/>
          <w:bCs/>
          <w:sz w:val="37"/>
          <w:szCs w:val="37"/>
          <w:lang w:val="en-US"/>
        </w:rPr>
      </w:pPr>
      <w:r w:rsidRPr="00280976">
        <w:rPr>
          <w:b/>
          <w:bCs/>
          <w:sz w:val="37"/>
          <w:szCs w:val="40"/>
          <w:lang w:val="en-US"/>
        </w:rPr>
        <w:t xml:space="preserve">20 Citizen Concerns about </w:t>
      </w:r>
    </w:p>
    <w:p w14:paraId="0802EEC7" w14:textId="5CEB2B1E" w:rsidR="00280976" w:rsidRPr="00280976" w:rsidRDefault="00280976" w:rsidP="00280976">
      <w:pPr>
        <w:spacing w:after="0" w:line="240" w:lineRule="auto"/>
        <w:jc w:val="center"/>
        <w:rPr>
          <w:b/>
          <w:bCs/>
          <w:sz w:val="37"/>
          <w:szCs w:val="40"/>
          <w:lang w:val="en-US"/>
        </w:rPr>
      </w:pPr>
      <w:r w:rsidRPr="00280976">
        <w:rPr>
          <w:b/>
          <w:bCs/>
          <w:sz w:val="37"/>
          <w:szCs w:val="40"/>
          <w:lang w:val="en-US"/>
        </w:rPr>
        <w:t>Industrial Development in the TA/ITA</w:t>
      </w:r>
    </w:p>
    <w:p w14:paraId="738F0548" w14:textId="77777777" w:rsidR="00280976" w:rsidRPr="00280976" w:rsidRDefault="00000000" w:rsidP="00280976">
      <w:pPr>
        <w:spacing w:after="0" w:line="240" w:lineRule="auto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pict w14:anchorId="39F70C71">
          <v:rect id="_x0000_i1025" style="width:0;height:1.5pt" o:hralign="center" o:hrstd="t" o:hr="t" fillcolor="#a0a0a0" stroked="f"/>
        </w:pict>
      </w:r>
    </w:p>
    <w:p w14:paraId="50CA95D0" w14:textId="77777777" w:rsidR="00280976" w:rsidRPr="00280976" w:rsidRDefault="00280976" w:rsidP="00280976">
      <w:pPr>
        <w:spacing w:after="120" w:line="276" w:lineRule="auto"/>
        <w:rPr>
          <w:b/>
          <w:bCs/>
          <w:lang w:val="en-US"/>
        </w:rPr>
      </w:pPr>
      <w:r w:rsidRPr="00280976">
        <w:rPr>
          <w:rFonts w:ascii="Segoe UI Emoji" w:hAnsi="Segoe UI Emoji" w:cs="Segoe UI Emoji"/>
          <w:b/>
          <w:bCs/>
          <w:lang w:val="en-US"/>
        </w:rPr>
        <w:t>🛡️</w:t>
      </w:r>
      <w:r w:rsidRPr="00280976">
        <w:rPr>
          <w:b/>
          <w:bCs/>
          <w:lang w:val="en-US"/>
        </w:rPr>
        <w:t xml:space="preserve"> Compatibility &amp; Public Safety</w:t>
      </w:r>
    </w:p>
    <w:p w14:paraId="06E233BE" w14:textId="77777777" w:rsidR="00280976" w:rsidRPr="00280976" w:rsidRDefault="00280976" w:rsidP="00280976">
      <w:pPr>
        <w:numPr>
          <w:ilvl w:val="0"/>
          <w:numId w:val="1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AICUZ Conflicts</w:t>
      </w:r>
      <w:r w:rsidRPr="00280976">
        <w:rPr>
          <w:lang w:val="en-US"/>
        </w:rPr>
        <w:t xml:space="preserve"> – Industrial uses may conflict with Navy Air Station Oceana and NALF Fentress overflight patterns and jet noise restrictions.</w:t>
      </w:r>
    </w:p>
    <w:p w14:paraId="2EE7B812" w14:textId="77777777" w:rsidR="00280976" w:rsidRPr="00280976" w:rsidRDefault="00280976" w:rsidP="00280976">
      <w:pPr>
        <w:numPr>
          <w:ilvl w:val="0"/>
          <w:numId w:val="1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Safety Risks</w:t>
      </w:r>
      <w:r w:rsidRPr="00280976">
        <w:rPr>
          <w:lang w:val="en-US"/>
        </w:rPr>
        <w:t xml:space="preserve"> – Warehousing, trucking, or light manufacturing may bring hazardous materials into areas prone to jet crashes or flood risk.</w:t>
      </w:r>
    </w:p>
    <w:p w14:paraId="0A8D5F49" w14:textId="77777777" w:rsidR="00280976" w:rsidRPr="00280976" w:rsidRDefault="00280976" w:rsidP="00280976">
      <w:pPr>
        <w:numPr>
          <w:ilvl w:val="0"/>
          <w:numId w:val="1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Encroachment on Military Operations</w:t>
      </w:r>
      <w:r w:rsidRPr="00280976">
        <w:rPr>
          <w:lang w:val="en-US"/>
        </w:rPr>
        <w:t xml:space="preserve"> – The Navy has consistently opposed incompatible development in the ITA/TA. This proposal could reignite BRAC (base realignment) concerns.</w:t>
      </w:r>
    </w:p>
    <w:p w14:paraId="6C8D37B4" w14:textId="77777777" w:rsidR="00280976" w:rsidRPr="00280976" w:rsidRDefault="00280976" w:rsidP="00280976">
      <w:pPr>
        <w:numPr>
          <w:ilvl w:val="0"/>
          <w:numId w:val="1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Emergency Response Burden</w:t>
      </w:r>
      <w:r w:rsidRPr="00280976">
        <w:rPr>
          <w:lang w:val="en-US"/>
        </w:rPr>
        <w:t xml:space="preserve"> – Industrial development increases calls for fire, EMS, and police services in an area already difficult to access.</w:t>
      </w:r>
    </w:p>
    <w:p w14:paraId="009ED979" w14:textId="77777777" w:rsidR="00280976" w:rsidRPr="00280976" w:rsidRDefault="00000000" w:rsidP="00280976">
      <w:pPr>
        <w:spacing w:after="120" w:line="276" w:lineRule="auto"/>
        <w:rPr>
          <w:lang w:val="en-US"/>
        </w:rPr>
      </w:pPr>
      <w:r>
        <w:rPr>
          <w:lang w:val="en-US"/>
        </w:rPr>
        <w:pict w14:anchorId="55A52411">
          <v:rect id="_x0000_i1026" style="width:0;height:1.5pt" o:hralign="center" o:hrstd="t" o:hr="t" fillcolor="#a0a0a0" stroked="f"/>
        </w:pict>
      </w:r>
    </w:p>
    <w:p w14:paraId="6909ABC8" w14:textId="77777777" w:rsidR="00280976" w:rsidRPr="00280976" w:rsidRDefault="00280976" w:rsidP="00280976">
      <w:pPr>
        <w:spacing w:after="120" w:line="276" w:lineRule="auto"/>
        <w:rPr>
          <w:b/>
          <w:bCs/>
          <w:lang w:val="en-US"/>
        </w:rPr>
      </w:pPr>
      <w:r w:rsidRPr="00280976">
        <w:rPr>
          <w:rFonts w:ascii="Segoe UI Emoji" w:hAnsi="Segoe UI Emoji" w:cs="Segoe UI Emoji"/>
          <w:b/>
          <w:bCs/>
          <w:lang w:val="en-US"/>
        </w:rPr>
        <w:t>🌱</w:t>
      </w:r>
      <w:r w:rsidRPr="00280976">
        <w:rPr>
          <w:b/>
          <w:bCs/>
          <w:lang w:val="en-US"/>
        </w:rPr>
        <w:t xml:space="preserve"> Environmental &amp; Rural Preservation</w:t>
      </w:r>
    </w:p>
    <w:p w14:paraId="330FF3AC" w14:textId="77777777" w:rsidR="00280976" w:rsidRPr="00280976" w:rsidRDefault="00280976" w:rsidP="00280976">
      <w:pPr>
        <w:numPr>
          <w:ilvl w:val="0"/>
          <w:numId w:val="2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Loss of Rural Character</w:t>
      </w:r>
      <w:r w:rsidRPr="00280976">
        <w:rPr>
          <w:lang w:val="en-US"/>
        </w:rPr>
        <w:t xml:space="preserve"> – 700 acres of industrial land would erode the “transition” buffer between suburban Virginia Beach and rural Pungo.</w:t>
      </w:r>
    </w:p>
    <w:p w14:paraId="0603CE87" w14:textId="77777777" w:rsidR="00280976" w:rsidRPr="00280976" w:rsidRDefault="00280976" w:rsidP="00280976">
      <w:pPr>
        <w:numPr>
          <w:ilvl w:val="0"/>
          <w:numId w:val="2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Impact on Agricultural Preservation</w:t>
      </w:r>
      <w:r w:rsidRPr="00280976">
        <w:rPr>
          <w:lang w:val="en-US"/>
        </w:rPr>
        <w:t xml:space="preserve"> – Direct conflict with decades of City policy to preserve farmland and rural identity.</w:t>
      </w:r>
    </w:p>
    <w:p w14:paraId="5B16B7A1" w14:textId="77777777" w:rsidR="00280976" w:rsidRPr="00280976" w:rsidRDefault="00280976" w:rsidP="00280976">
      <w:pPr>
        <w:numPr>
          <w:ilvl w:val="0"/>
          <w:numId w:val="2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Stormwater &amp; Flooding</w:t>
      </w:r>
      <w:r w:rsidRPr="00280976">
        <w:rPr>
          <w:lang w:val="en-US"/>
        </w:rPr>
        <w:t xml:space="preserve"> – Industrial development increases impervious surface, worsening runoff, flooding, and sea level rise vulnerabilities in low-lying TA/ITA.</w:t>
      </w:r>
    </w:p>
    <w:p w14:paraId="118F8A3C" w14:textId="77777777" w:rsidR="00280976" w:rsidRPr="00280976" w:rsidRDefault="00280976" w:rsidP="00280976">
      <w:pPr>
        <w:numPr>
          <w:ilvl w:val="0"/>
          <w:numId w:val="2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Wildlife &amp; Wetlands Disruption</w:t>
      </w:r>
      <w:r w:rsidRPr="00280976">
        <w:rPr>
          <w:lang w:val="en-US"/>
        </w:rPr>
        <w:t xml:space="preserve"> – Industrial activity threatens sensitive habitats connected to North Landing River and Albemarle watershed.</w:t>
      </w:r>
    </w:p>
    <w:p w14:paraId="4AB6E51B" w14:textId="77777777" w:rsidR="00280976" w:rsidRPr="00280976" w:rsidRDefault="00280976" w:rsidP="00280976">
      <w:pPr>
        <w:numPr>
          <w:ilvl w:val="0"/>
          <w:numId w:val="2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Loss of Green Infrastructure</w:t>
      </w:r>
      <w:r w:rsidRPr="00280976">
        <w:rPr>
          <w:lang w:val="en-US"/>
        </w:rPr>
        <w:t xml:space="preserve"> – Eliminates opportunities for stormwater banking, blueways, and ecological buffers that benefit the entire city.</w:t>
      </w:r>
    </w:p>
    <w:p w14:paraId="65801752" w14:textId="77777777" w:rsidR="00280976" w:rsidRPr="00280976" w:rsidRDefault="00000000" w:rsidP="00280976">
      <w:pPr>
        <w:spacing w:after="120" w:line="276" w:lineRule="auto"/>
        <w:rPr>
          <w:lang w:val="en-US"/>
        </w:rPr>
      </w:pPr>
      <w:r>
        <w:rPr>
          <w:lang w:val="en-US"/>
        </w:rPr>
        <w:pict w14:anchorId="3B6571EC">
          <v:rect id="_x0000_i1027" style="width:0;height:1.5pt" o:hralign="center" o:hrstd="t" o:hr="t" fillcolor="#a0a0a0" stroked="f"/>
        </w:pict>
      </w:r>
    </w:p>
    <w:p w14:paraId="7E0B8ECF" w14:textId="77777777" w:rsidR="00280976" w:rsidRPr="00280976" w:rsidRDefault="00280976" w:rsidP="00280976">
      <w:pPr>
        <w:spacing w:after="120" w:line="276" w:lineRule="auto"/>
        <w:rPr>
          <w:b/>
          <w:bCs/>
          <w:lang w:val="en-US"/>
        </w:rPr>
      </w:pPr>
      <w:r w:rsidRPr="00280976">
        <w:rPr>
          <w:rFonts w:ascii="Segoe UI Emoji" w:hAnsi="Segoe UI Emoji" w:cs="Segoe UI Emoji"/>
          <w:b/>
          <w:bCs/>
          <w:lang w:val="en-US"/>
        </w:rPr>
        <w:t>🚦</w:t>
      </w:r>
      <w:r w:rsidRPr="00280976">
        <w:rPr>
          <w:b/>
          <w:bCs/>
          <w:lang w:val="en-US"/>
        </w:rPr>
        <w:t xml:space="preserve"> Infrastructure &amp; Transportation</w:t>
      </w:r>
    </w:p>
    <w:p w14:paraId="1C729C3A" w14:textId="77777777" w:rsidR="00280976" w:rsidRPr="00280976" w:rsidRDefault="00280976" w:rsidP="00280976">
      <w:pPr>
        <w:numPr>
          <w:ilvl w:val="0"/>
          <w:numId w:val="3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Traffic Congestion</w:t>
      </w:r>
      <w:r w:rsidRPr="00280976">
        <w:rPr>
          <w:lang w:val="en-US"/>
        </w:rPr>
        <w:t xml:space="preserve"> – Heavy truck traffic would strain already limited roads (Indian River, Princess Anne, Salem, Landstown).</w:t>
      </w:r>
    </w:p>
    <w:p w14:paraId="73E02ED0" w14:textId="77777777" w:rsidR="00280976" w:rsidRPr="00280976" w:rsidRDefault="00280976" w:rsidP="00280976">
      <w:pPr>
        <w:numPr>
          <w:ilvl w:val="0"/>
          <w:numId w:val="3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Infrastructure Costs</w:t>
      </w:r>
      <w:r w:rsidRPr="00280976">
        <w:rPr>
          <w:lang w:val="en-US"/>
        </w:rPr>
        <w:t xml:space="preserve"> – Extending utilities (water, sewer, road upgrades) to service industrial parcels would be </w:t>
      </w:r>
      <w:r w:rsidRPr="00280976">
        <w:rPr>
          <w:b/>
          <w:bCs/>
          <w:lang w:val="en-US"/>
        </w:rPr>
        <w:t>subsidized by taxpayers</w:t>
      </w:r>
      <w:r w:rsidRPr="00280976">
        <w:rPr>
          <w:lang w:val="en-US"/>
        </w:rPr>
        <w:t>, not developers.</w:t>
      </w:r>
    </w:p>
    <w:p w14:paraId="7A70E848" w14:textId="77777777" w:rsidR="00280976" w:rsidRPr="00280976" w:rsidRDefault="00280976" w:rsidP="00280976">
      <w:pPr>
        <w:numPr>
          <w:ilvl w:val="0"/>
          <w:numId w:val="3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lastRenderedPageBreak/>
        <w:t>Transit Conflicts</w:t>
      </w:r>
      <w:r w:rsidRPr="00280976">
        <w:rPr>
          <w:lang w:val="en-US"/>
        </w:rPr>
        <w:t xml:space="preserve"> – Roads envisioned for recreation, bike trails, and neighborhood access would be re-purposed for freight movement.</w:t>
      </w:r>
    </w:p>
    <w:p w14:paraId="588C02C6" w14:textId="77777777" w:rsidR="00280976" w:rsidRPr="00280976" w:rsidRDefault="00280976" w:rsidP="00280976">
      <w:pPr>
        <w:numPr>
          <w:ilvl w:val="0"/>
          <w:numId w:val="3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Incompatible Road Network</w:t>
      </w:r>
      <w:r w:rsidRPr="00280976">
        <w:rPr>
          <w:lang w:val="en-US"/>
        </w:rPr>
        <w:t xml:space="preserve"> – Narrow two-lane roads in the TA/ITA were not designed for semi-truck volumes.</w:t>
      </w:r>
    </w:p>
    <w:p w14:paraId="0E534012" w14:textId="77777777" w:rsidR="00280976" w:rsidRPr="00280976" w:rsidRDefault="00000000" w:rsidP="00280976">
      <w:pPr>
        <w:spacing w:after="120" w:line="276" w:lineRule="auto"/>
        <w:rPr>
          <w:lang w:val="en-US"/>
        </w:rPr>
      </w:pPr>
      <w:r>
        <w:rPr>
          <w:lang w:val="en-US"/>
        </w:rPr>
        <w:pict w14:anchorId="3DD04B18">
          <v:rect id="_x0000_i1028" style="width:0;height:1.5pt" o:hralign="center" o:hrstd="t" o:hr="t" fillcolor="#a0a0a0" stroked="f"/>
        </w:pict>
      </w:r>
    </w:p>
    <w:p w14:paraId="2ACDB9B9" w14:textId="77777777" w:rsidR="00280976" w:rsidRPr="00280976" w:rsidRDefault="00280976" w:rsidP="00280976">
      <w:pPr>
        <w:spacing w:after="120" w:line="276" w:lineRule="auto"/>
        <w:rPr>
          <w:b/>
          <w:bCs/>
          <w:lang w:val="en-US"/>
        </w:rPr>
      </w:pPr>
      <w:r w:rsidRPr="00280976">
        <w:rPr>
          <w:rFonts w:ascii="Segoe UI Emoji" w:hAnsi="Segoe UI Emoji" w:cs="Segoe UI Emoji"/>
          <w:b/>
          <w:bCs/>
          <w:lang w:val="en-US"/>
        </w:rPr>
        <w:t>💰</w:t>
      </w:r>
      <w:r w:rsidRPr="00280976">
        <w:rPr>
          <w:b/>
          <w:bCs/>
          <w:lang w:val="en-US"/>
        </w:rPr>
        <w:t xml:space="preserve"> Fiscal &amp; Economic Impact</w:t>
      </w:r>
    </w:p>
    <w:p w14:paraId="315AB71D" w14:textId="77777777" w:rsidR="00280976" w:rsidRPr="00280976" w:rsidRDefault="00280976" w:rsidP="00280976">
      <w:pPr>
        <w:numPr>
          <w:ilvl w:val="0"/>
          <w:numId w:val="4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Taxpayer Subsidies</w:t>
      </w:r>
      <w:r w:rsidRPr="00280976">
        <w:rPr>
          <w:lang w:val="en-US"/>
        </w:rPr>
        <w:t xml:space="preserve"> – Public money will be required for land acquisition, infrastructure, and incentives — benefits may not equal costs.</w:t>
      </w:r>
    </w:p>
    <w:p w14:paraId="002FA343" w14:textId="77777777" w:rsidR="00280976" w:rsidRPr="00280976" w:rsidRDefault="00280976" w:rsidP="00280976">
      <w:pPr>
        <w:numPr>
          <w:ilvl w:val="0"/>
          <w:numId w:val="4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Opportunity Cost</w:t>
      </w:r>
      <w:r w:rsidRPr="00280976">
        <w:rPr>
          <w:lang w:val="en-US"/>
        </w:rPr>
        <w:t xml:space="preserve"> – Industrial development crowds out alternative land uses (bio-research, agri-tech, recreation, eco-tourism) that align better with City’s brand and citizen values.</w:t>
      </w:r>
    </w:p>
    <w:p w14:paraId="3E96FF02" w14:textId="77777777" w:rsidR="00280976" w:rsidRPr="00280976" w:rsidRDefault="00280976" w:rsidP="00280976">
      <w:pPr>
        <w:numPr>
          <w:ilvl w:val="0"/>
          <w:numId w:val="4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Market Risk</w:t>
      </w:r>
      <w:r w:rsidRPr="00280976">
        <w:rPr>
          <w:lang w:val="en-US"/>
        </w:rPr>
        <w:t xml:space="preserve"> – Demand for 700 acres of industrial land is speculative; risk of vacant warehouses or underutilized parcels.</w:t>
      </w:r>
    </w:p>
    <w:p w14:paraId="41C1B603" w14:textId="77777777" w:rsidR="00280976" w:rsidRPr="00280976" w:rsidRDefault="00280976" w:rsidP="00280976">
      <w:pPr>
        <w:numPr>
          <w:ilvl w:val="0"/>
          <w:numId w:val="4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Depressed Property Values</w:t>
      </w:r>
      <w:r w:rsidRPr="00280976">
        <w:rPr>
          <w:lang w:val="en-US"/>
        </w:rPr>
        <w:t xml:space="preserve"> – Adjacent residential and agricultural properties could lose value due to noise, traffic, and industrial adjacency.</w:t>
      </w:r>
    </w:p>
    <w:p w14:paraId="3F70617D" w14:textId="77777777" w:rsidR="00280976" w:rsidRPr="00280976" w:rsidRDefault="00000000" w:rsidP="00280976">
      <w:pPr>
        <w:spacing w:after="120" w:line="276" w:lineRule="auto"/>
        <w:rPr>
          <w:lang w:val="en-US"/>
        </w:rPr>
      </w:pPr>
      <w:r>
        <w:rPr>
          <w:lang w:val="en-US"/>
        </w:rPr>
        <w:pict w14:anchorId="7ADDA1D2">
          <v:rect id="_x0000_i1029" style="width:0;height:1.5pt" o:hralign="center" o:hrstd="t" o:hr="t" fillcolor="#a0a0a0" stroked="f"/>
        </w:pict>
      </w:r>
    </w:p>
    <w:p w14:paraId="5558CE6D" w14:textId="77777777" w:rsidR="00280976" w:rsidRPr="00280976" w:rsidRDefault="00280976" w:rsidP="00280976">
      <w:pPr>
        <w:spacing w:after="120" w:line="276" w:lineRule="auto"/>
        <w:rPr>
          <w:b/>
          <w:bCs/>
          <w:lang w:val="en-US"/>
        </w:rPr>
      </w:pPr>
      <w:r w:rsidRPr="00280976">
        <w:rPr>
          <w:rFonts w:ascii="Segoe UI Emoji" w:hAnsi="Segoe UI Emoji" w:cs="Segoe UI Emoji"/>
          <w:b/>
          <w:bCs/>
          <w:lang w:val="en-US"/>
        </w:rPr>
        <w:t>👥</w:t>
      </w:r>
      <w:r w:rsidRPr="00280976">
        <w:rPr>
          <w:b/>
          <w:bCs/>
          <w:lang w:val="en-US"/>
        </w:rPr>
        <w:t xml:space="preserve"> Governance &amp; Public Trust</w:t>
      </w:r>
    </w:p>
    <w:p w14:paraId="4AF41984" w14:textId="77777777" w:rsidR="00280976" w:rsidRPr="00280976" w:rsidRDefault="00280976" w:rsidP="00280976">
      <w:pPr>
        <w:numPr>
          <w:ilvl w:val="0"/>
          <w:numId w:val="5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Contradicts Adopted Plans</w:t>
      </w:r>
      <w:r w:rsidRPr="00280976">
        <w:rPr>
          <w:lang w:val="en-US"/>
        </w:rPr>
        <w:t xml:space="preserve"> – The 2016 Comprehensive Plan, 2017 ITA Master Plan, and Transition Area Guidelines never called for industrial development here.</w:t>
      </w:r>
    </w:p>
    <w:p w14:paraId="1183C8B4" w14:textId="77777777" w:rsidR="00280976" w:rsidRPr="00280976" w:rsidRDefault="00280976" w:rsidP="00280976">
      <w:pPr>
        <w:numPr>
          <w:ilvl w:val="0"/>
          <w:numId w:val="5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Precedent for Further Encroachment</w:t>
      </w:r>
      <w:r w:rsidRPr="00280976">
        <w:rPr>
          <w:lang w:val="en-US"/>
        </w:rPr>
        <w:t xml:space="preserve"> – Approving 700 acres may open the door for even more industrial creep south of the Green Line.</w:t>
      </w:r>
    </w:p>
    <w:p w14:paraId="07B75C83" w14:textId="77777777" w:rsidR="00280976" w:rsidRPr="00280976" w:rsidRDefault="00280976" w:rsidP="00280976">
      <w:pPr>
        <w:numPr>
          <w:ilvl w:val="0"/>
          <w:numId w:val="5"/>
        </w:numPr>
        <w:spacing w:after="120" w:line="276" w:lineRule="auto"/>
        <w:rPr>
          <w:lang w:val="en-US"/>
        </w:rPr>
      </w:pPr>
      <w:r w:rsidRPr="00280976">
        <w:rPr>
          <w:b/>
          <w:bCs/>
          <w:lang w:val="en-US"/>
        </w:rPr>
        <w:t>Transparency &amp; Citizen Voice</w:t>
      </w:r>
      <w:r w:rsidRPr="00280976">
        <w:rPr>
          <w:lang w:val="en-US"/>
        </w:rPr>
        <w:t xml:space="preserve"> – Lack of early notice and meaningful public input would undermine trust in City government decision-making.</w:t>
      </w:r>
    </w:p>
    <w:p w14:paraId="2064CD22" w14:textId="77777777" w:rsidR="00280976" w:rsidRPr="00280976" w:rsidRDefault="00000000" w:rsidP="00280976">
      <w:pPr>
        <w:spacing w:after="120" w:line="276" w:lineRule="auto"/>
        <w:rPr>
          <w:lang w:val="en-US"/>
        </w:rPr>
      </w:pPr>
      <w:r>
        <w:rPr>
          <w:lang w:val="en-US"/>
        </w:rPr>
        <w:pict w14:anchorId="2395E7C8">
          <v:rect id="_x0000_i1030" style="width:0;height:1.5pt" o:hralign="center" o:hrstd="t" o:hr="t" fillcolor="#a0a0a0" stroked="f"/>
        </w:pict>
      </w:r>
    </w:p>
    <w:p w14:paraId="424447F3" w14:textId="77777777" w:rsidR="009B1A61" w:rsidRPr="00280976" w:rsidRDefault="009B1A61" w:rsidP="00280976">
      <w:pPr>
        <w:spacing w:after="120" w:line="276" w:lineRule="auto"/>
      </w:pPr>
    </w:p>
    <w:sectPr w:rsidR="009B1A61" w:rsidRPr="00280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0C838" w14:textId="77777777" w:rsidR="00581C0E" w:rsidRPr="00280976" w:rsidRDefault="00581C0E">
      <w:pPr>
        <w:spacing w:after="0" w:line="240" w:lineRule="auto"/>
        <w:rPr>
          <w:sz w:val="20"/>
          <w:szCs w:val="20"/>
        </w:rPr>
      </w:pPr>
      <w:r w:rsidRPr="00280976">
        <w:rPr>
          <w:sz w:val="20"/>
          <w:szCs w:val="20"/>
        </w:rPr>
        <w:separator/>
      </w:r>
    </w:p>
  </w:endnote>
  <w:endnote w:type="continuationSeparator" w:id="0">
    <w:p w14:paraId="104D56FB" w14:textId="77777777" w:rsidR="00581C0E" w:rsidRPr="00280976" w:rsidRDefault="00581C0E">
      <w:pPr>
        <w:spacing w:after="0" w:line="240" w:lineRule="auto"/>
        <w:rPr>
          <w:sz w:val="20"/>
          <w:szCs w:val="20"/>
        </w:rPr>
      </w:pPr>
      <w:r w:rsidRPr="00280976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56E3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4FBE" w14:textId="66AED1A8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  <w:sz w:val="20"/>
        <w:szCs w:val="20"/>
      </w:rPr>
    </w:pPr>
    <w:r w:rsidRPr="00280976">
      <w:rPr>
        <w:color w:val="000000"/>
        <w:sz w:val="20"/>
        <w:szCs w:val="20"/>
      </w:rPr>
      <w:fldChar w:fldCharType="begin"/>
    </w:r>
    <w:r w:rsidRPr="00280976">
      <w:rPr>
        <w:color w:val="000000"/>
        <w:sz w:val="20"/>
        <w:szCs w:val="20"/>
      </w:rPr>
      <w:instrText>PAGE</w:instrText>
    </w:r>
    <w:r w:rsidRPr="00280976">
      <w:rPr>
        <w:color w:val="000000"/>
        <w:sz w:val="20"/>
        <w:szCs w:val="20"/>
      </w:rPr>
      <w:fldChar w:fldCharType="separate"/>
    </w:r>
    <w:r w:rsidR="00280976" w:rsidRPr="00280976">
      <w:rPr>
        <w:noProof/>
        <w:color w:val="000000"/>
        <w:sz w:val="20"/>
        <w:szCs w:val="20"/>
      </w:rPr>
      <w:t>2</w:t>
    </w:r>
    <w:r w:rsidRPr="00280976">
      <w:rPr>
        <w:color w:val="000000"/>
        <w:sz w:val="20"/>
        <w:szCs w:val="20"/>
      </w:rPr>
      <w:fldChar w:fldCharType="end"/>
    </w:r>
  </w:p>
  <w:p w14:paraId="50202688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0EF9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E63BA" w14:textId="77777777" w:rsidR="00581C0E" w:rsidRPr="00280976" w:rsidRDefault="00581C0E">
      <w:pPr>
        <w:spacing w:after="0" w:line="240" w:lineRule="auto"/>
        <w:rPr>
          <w:sz w:val="20"/>
          <w:szCs w:val="20"/>
        </w:rPr>
      </w:pPr>
      <w:r w:rsidRPr="00280976">
        <w:rPr>
          <w:sz w:val="20"/>
          <w:szCs w:val="20"/>
        </w:rPr>
        <w:separator/>
      </w:r>
    </w:p>
  </w:footnote>
  <w:footnote w:type="continuationSeparator" w:id="0">
    <w:p w14:paraId="2CB4D73A" w14:textId="77777777" w:rsidR="00581C0E" w:rsidRPr="00280976" w:rsidRDefault="00581C0E">
      <w:pPr>
        <w:spacing w:after="0" w:line="240" w:lineRule="auto"/>
        <w:rPr>
          <w:sz w:val="20"/>
          <w:szCs w:val="20"/>
        </w:rPr>
      </w:pPr>
      <w:r w:rsidRPr="00280976">
        <w:rPr>
          <w:sz w:val="20"/>
          <w:szCs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12A73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2"/>
        <w:szCs w:val="52"/>
      </w:rPr>
    </w:pPr>
    <w:r w:rsidRPr="00280976">
      <w:rPr>
        <w:noProof/>
        <w:sz w:val="20"/>
        <w:szCs w:val="20"/>
      </w:rPr>
      <w:drawing>
        <wp:anchor distT="0" distB="0" distL="0" distR="0" simplePos="0" relativeHeight="251660288" behindDoc="1" locked="0" layoutInCell="1" hidden="0" allowOverlap="1" wp14:anchorId="027211ED" wp14:editId="6D2661F3">
          <wp:simplePos x="0" y="0"/>
          <wp:positionH relativeFrom="column">
            <wp:posOffset>-257173</wp:posOffset>
          </wp:positionH>
          <wp:positionV relativeFrom="paragraph">
            <wp:posOffset>-137158</wp:posOffset>
          </wp:positionV>
          <wp:extent cx="1995170" cy="2095500"/>
          <wp:effectExtent l="0" t="0" r="0" b="0"/>
          <wp:wrapNone/>
          <wp:docPr id="950375149" name="image1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DB67F08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2"/>
        <w:szCs w:val="52"/>
      </w:rPr>
    </w:pPr>
    <w:r w:rsidRPr="00280976">
      <w:rPr>
        <w:color w:val="000000"/>
        <w:sz w:val="52"/>
        <w:szCs w:val="52"/>
      </w:rPr>
      <w:t>Robert M. “Bobby” Dyer</w:t>
    </w:r>
  </w:p>
  <w:p w14:paraId="7D34161E" w14:textId="77777777" w:rsidR="009B1A61" w:rsidRPr="00280976" w:rsidRDefault="009B1A61">
    <w:pPr>
      <w:spacing w:after="0" w:line="240" w:lineRule="auto"/>
      <w:ind w:left="3600"/>
      <w:rPr>
        <w:rFonts w:ascii="Aptos" w:eastAsia="Aptos" w:hAnsi="Aptos" w:cs="Aptos"/>
        <w:sz w:val="20"/>
        <w:szCs w:val="20"/>
      </w:rPr>
    </w:pPr>
  </w:p>
  <w:p w14:paraId="5241704A" w14:textId="77777777" w:rsidR="009B1A61" w:rsidRPr="00280976" w:rsidRDefault="00000000">
    <w:pPr>
      <w:spacing w:after="0" w:line="240" w:lineRule="auto"/>
      <w:ind w:left="3600"/>
      <w:rPr>
        <w:rFonts w:ascii="Aptos" w:eastAsia="Aptos" w:hAnsi="Aptos" w:cs="Aptos"/>
        <w:sz w:val="20"/>
        <w:szCs w:val="20"/>
      </w:rPr>
    </w:pPr>
    <w:r w:rsidRPr="00280976">
      <w:rPr>
        <w:rFonts w:ascii="Aptos" w:eastAsia="Aptos" w:hAnsi="Aptos" w:cs="Aptos"/>
        <w:sz w:val="20"/>
        <w:szCs w:val="20"/>
      </w:rPr>
      <w:t>Candidate Website: [website]</w:t>
    </w:r>
  </w:p>
  <w:p w14:paraId="337D963C" w14:textId="77777777" w:rsidR="009B1A61" w:rsidRPr="00280976" w:rsidRDefault="00000000">
    <w:pPr>
      <w:spacing w:after="0" w:line="240" w:lineRule="auto"/>
      <w:ind w:left="3600"/>
      <w:rPr>
        <w:rFonts w:ascii="Aptos" w:eastAsia="Aptos" w:hAnsi="Aptos" w:cs="Aptos"/>
        <w:sz w:val="20"/>
        <w:szCs w:val="20"/>
      </w:rPr>
    </w:pPr>
    <w:r w:rsidRPr="00280976">
      <w:rPr>
        <w:rFonts w:ascii="Aptos" w:eastAsia="Aptos" w:hAnsi="Aptos" w:cs="Aptos"/>
        <w:sz w:val="20"/>
        <w:szCs w:val="20"/>
      </w:rPr>
      <w:t>Candidate Email: [Contact Email]</w:t>
    </w:r>
  </w:p>
  <w:p w14:paraId="73F93CFB" w14:textId="77777777" w:rsidR="009B1A61" w:rsidRPr="00280976" w:rsidRDefault="00000000">
    <w:pPr>
      <w:spacing w:after="0" w:line="240" w:lineRule="auto"/>
      <w:ind w:left="3600"/>
      <w:rPr>
        <w:rFonts w:ascii="Aptos" w:eastAsia="Aptos" w:hAnsi="Aptos" w:cs="Aptos"/>
        <w:sz w:val="20"/>
        <w:szCs w:val="20"/>
      </w:rPr>
    </w:pPr>
    <w:r w:rsidRPr="00280976">
      <w:rPr>
        <w:rFonts w:ascii="Aptos" w:eastAsia="Aptos" w:hAnsi="Aptos" w:cs="Aptos"/>
        <w:sz w:val="20"/>
        <w:szCs w:val="20"/>
      </w:rPr>
      <w:t>Candidate Phone: [Contact Number]</w:t>
    </w:r>
  </w:p>
  <w:p w14:paraId="3BA56A6F" w14:textId="77777777" w:rsidR="009B1A61" w:rsidRPr="00280976" w:rsidRDefault="00000000">
    <w:pPr>
      <w:spacing w:after="0" w:line="240" w:lineRule="auto"/>
      <w:ind w:left="3600"/>
      <w:rPr>
        <w:rFonts w:ascii="Aptos" w:eastAsia="Aptos" w:hAnsi="Aptos" w:cs="Aptos"/>
        <w:sz w:val="20"/>
        <w:szCs w:val="20"/>
      </w:rPr>
    </w:pPr>
    <w:r w:rsidRPr="00280976">
      <w:rPr>
        <w:rFonts w:ascii="Aptos" w:eastAsia="Aptos" w:hAnsi="Aptos" w:cs="Aptos"/>
        <w:sz w:val="20"/>
        <w:szCs w:val="20"/>
      </w:rPr>
      <w:t>Candidate Social Media: [Handles for platforms like Facebook, Twitter, Instagram]</w:t>
    </w:r>
  </w:p>
  <w:p w14:paraId="53F10AE6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  <w:p w14:paraId="613C0CF1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E44E4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3"/>
        <w:szCs w:val="33"/>
      </w:rPr>
    </w:pPr>
    <w:r w:rsidRPr="00280976">
      <w:rPr>
        <w:b/>
        <w:color w:val="000000"/>
        <w:sz w:val="33"/>
        <w:szCs w:val="33"/>
      </w:rPr>
      <w:t>Virginia Beach Council of Civic Organizations</w:t>
    </w:r>
    <w:r w:rsidRPr="00280976">
      <w:rPr>
        <w:noProof/>
        <w:sz w:val="20"/>
        <w:szCs w:val="20"/>
      </w:rPr>
      <w:drawing>
        <wp:anchor distT="0" distB="0" distL="114300" distR="114300" simplePos="0" relativeHeight="251658240" behindDoc="0" locked="0" layoutInCell="1" hidden="0" allowOverlap="1" wp14:anchorId="7488919A" wp14:editId="3646A81F">
          <wp:simplePos x="0" y="0"/>
          <wp:positionH relativeFrom="column">
            <wp:posOffset>-619123</wp:posOffset>
          </wp:positionH>
          <wp:positionV relativeFrom="paragraph">
            <wp:posOffset>-123823</wp:posOffset>
          </wp:positionV>
          <wp:extent cx="1095375" cy="1040130"/>
          <wp:effectExtent l="0" t="0" r="0" b="0"/>
          <wp:wrapSquare wrapText="bothSides" distT="0" distB="0" distL="114300" distR="114300"/>
          <wp:docPr id="950375148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F65B9B7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0"/>
        <w:szCs w:val="20"/>
      </w:rPr>
    </w:pPr>
    <w:r w:rsidRPr="00280976">
      <w:rPr>
        <w:color w:val="000000"/>
        <w:sz w:val="20"/>
        <w:szCs w:val="20"/>
      </w:rPr>
      <w:t>Helping Civic Organizations Remain Educated for 66 years</w:t>
    </w:r>
  </w:p>
  <w:p w14:paraId="0C9287FC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0"/>
        <w:szCs w:val="20"/>
      </w:rPr>
    </w:pPr>
    <w:r w:rsidRPr="00280976">
      <w:rPr>
        <w:color w:val="000000"/>
        <w:sz w:val="20"/>
        <w:szCs w:val="20"/>
      </w:rPr>
      <w:t>Post Office Box 9252</w:t>
    </w:r>
  </w:p>
  <w:p w14:paraId="6C77949A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0"/>
        <w:szCs w:val="20"/>
      </w:rPr>
    </w:pPr>
    <w:r w:rsidRPr="00280976">
      <w:rPr>
        <w:color w:val="000000"/>
        <w:sz w:val="20"/>
        <w:szCs w:val="20"/>
      </w:rPr>
      <w:t>Virginia Beach, VA 23450-9252</w:t>
    </w:r>
  </w:p>
  <w:p w14:paraId="428CD1C7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sz w:val="20"/>
        <w:szCs w:val="20"/>
        <w:u w:val="single"/>
      </w:rPr>
    </w:pPr>
    <w:hyperlink r:id="rId2">
      <w:r w:rsidRPr="00280976">
        <w:rPr>
          <w:color w:val="0000FF"/>
          <w:sz w:val="20"/>
          <w:szCs w:val="20"/>
          <w:u w:val="single"/>
        </w:rPr>
        <w:t>www.vbcco.org</w:t>
      </w:r>
    </w:hyperlink>
  </w:p>
  <w:p w14:paraId="2F58A69F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8897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3"/>
        <w:szCs w:val="33"/>
      </w:rPr>
    </w:pPr>
    <w:r w:rsidRPr="00280976">
      <w:rPr>
        <w:b/>
        <w:color w:val="000000"/>
        <w:sz w:val="33"/>
        <w:szCs w:val="33"/>
      </w:rPr>
      <w:t>Virginia Beach Council of Civic Organizations</w:t>
    </w:r>
    <w:r w:rsidRPr="00280976">
      <w:rPr>
        <w:noProof/>
        <w:sz w:val="20"/>
        <w:szCs w:val="20"/>
      </w:rPr>
      <w:drawing>
        <wp:anchor distT="0" distB="0" distL="114300" distR="114300" simplePos="0" relativeHeight="251659264" behindDoc="0" locked="0" layoutInCell="1" hidden="0" allowOverlap="1" wp14:anchorId="4FAC8BBF" wp14:editId="2979FA1A">
          <wp:simplePos x="0" y="0"/>
          <wp:positionH relativeFrom="column">
            <wp:posOffset>-695324</wp:posOffset>
          </wp:positionH>
          <wp:positionV relativeFrom="paragraph">
            <wp:posOffset>-123824</wp:posOffset>
          </wp:positionV>
          <wp:extent cx="1228725" cy="1233170"/>
          <wp:effectExtent l="0" t="0" r="0" b="0"/>
          <wp:wrapSquare wrapText="bothSides" distT="0" distB="0" distL="114300" distR="114300"/>
          <wp:docPr id="950375147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8C8035D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0"/>
        <w:szCs w:val="20"/>
      </w:rPr>
    </w:pPr>
    <w:r w:rsidRPr="00280976">
      <w:rPr>
        <w:color w:val="000000"/>
        <w:sz w:val="20"/>
        <w:szCs w:val="20"/>
      </w:rPr>
      <w:t>Helping Civic Organizations Remain Educated for 65 years</w:t>
    </w:r>
  </w:p>
  <w:p w14:paraId="1C35DFF4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0"/>
        <w:szCs w:val="20"/>
      </w:rPr>
    </w:pPr>
    <w:r w:rsidRPr="00280976">
      <w:rPr>
        <w:color w:val="000000"/>
        <w:sz w:val="20"/>
        <w:szCs w:val="20"/>
      </w:rPr>
      <w:t>Post Office Box 9252</w:t>
    </w:r>
  </w:p>
  <w:p w14:paraId="59DD4CF6" w14:textId="77777777" w:rsidR="009B1A61" w:rsidRPr="0028097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0"/>
        <w:szCs w:val="20"/>
      </w:rPr>
    </w:pPr>
    <w:r w:rsidRPr="00280976">
      <w:rPr>
        <w:color w:val="000000"/>
        <w:sz w:val="20"/>
        <w:szCs w:val="20"/>
      </w:rPr>
      <w:t>Virginia Beach, VA 23450-9252</w:t>
    </w:r>
  </w:p>
  <w:p w14:paraId="19DE517C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sz w:val="20"/>
        <w:szCs w:val="20"/>
        <w:u w:val="single"/>
      </w:rPr>
    </w:pPr>
    <w:hyperlink r:id="rId2">
      <w:r w:rsidRPr="00280976">
        <w:rPr>
          <w:color w:val="0000FF"/>
          <w:sz w:val="20"/>
          <w:szCs w:val="20"/>
          <w:u w:val="single"/>
        </w:rPr>
        <w:t>www.vbcco.org</w:t>
      </w:r>
    </w:hyperlink>
  </w:p>
  <w:p w14:paraId="00E8CCE8" w14:textId="77777777" w:rsidR="009B1A61" w:rsidRPr="00280976" w:rsidRDefault="009B1A6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E72A8"/>
    <w:multiLevelType w:val="multilevel"/>
    <w:tmpl w:val="E866562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6662A9"/>
    <w:multiLevelType w:val="multilevel"/>
    <w:tmpl w:val="61B8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092CCB"/>
    <w:multiLevelType w:val="multilevel"/>
    <w:tmpl w:val="589CF2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204047"/>
    <w:multiLevelType w:val="multilevel"/>
    <w:tmpl w:val="6100CF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AA76E9"/>
    <w:multiLevelType w:val="multilevel"/>
    <w:tmpl w:val="2ADE071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8266641">
    <w:abstractNumId w:val="1"/>
  </w:num>
  <w:num w:numId="2" w16cid:durableId="701445541">
    <w:abstractNumId w:val="3"/>
  </w:num>
  <w:num w:numId="3" w16cid:durableId="1748922407">
    <w:abstractNumId w:val="2"/>
  </w:num>
  <w:num w:numId="4" w16cid:durableId="949555588">
    <w:abstractNumId w:val="4"/>
  </w:num>
  <w:num w:numId="5" w16cid:durableId="1814104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A61"/>
    <w:rsid w:val="001A335F"/>
    <w:rsid w:val="00280976"/>
    <w:rsid w:val="00581C0E"/>
    <w:rsid w:val="006E6A55"/>
    <w:rsid w:val="009B1A61"/>
    <w:rsid w:val="009C17C7"/>
    <w:rsid w:val="00BD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9BAF"/>
  <w15:docId w15:val="{167D098F-5818-4BF8-8CDA-2B82B122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34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Office Word</Application>
  <DocSecurity>0</DocSecurity>
  <Lines>21</Lines>
  <Paragraphs>6</Paragraphs>
  <ScaleCrop>false</ScaleCrop>
  <Company>Computer Networks, Inc.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2</cp:revision>
  <dcterms:created xsi:type="dcterms:W3CDTF">2025-08-20T18:28:00Z</dcterms:created>
  <dcterms:modified xsi:type="dcterms:W3CDTF">2025-08-20T18:28:00Z</dcterms:modified>
</cp:coreProperties>
</file>