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626D" w14:textId="3AFD57BF" w:rsidR="00D832B4" w:rsidRDefault="00D832B4" w:rsidP="00D832B4">
      <w:pPr>
        <w:spacing w:after="0" w:line="240" w:lineRule="auto"/>
        <w:jc w:val="center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 xml:space="preserve">Comparison Chart: 2021 </w:t>
      </w:r>
      <w:r>
        <w:rPr>
          <w:rFonts w:ascii="Aptos" w:hAnsi="Aptos" w:cs="Aparajita"/>
          <w:b/>
          <w:bCs/>
          <w:sz w:val="24"/>
          <w:szCs w:val="24"/>
          <w:lang w:val="en-US"/>
        </w:rPr>
        <w:t xml:space="preserve">Economic Development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Plan</w:t>
      </w:r>
    </w:p>
    <w:p w14:paraId="28D5192E" w14:textId="1B198434" w:rsidR="00D832B4" w:rsidRPr="00D832B4" w:rsidRDefault="00D832B4" w:rsidP="00D832B4">
      <w:pPr>
        <w:spacing w:after="0" w:line="240" w:lineRule="auto"/>
        <w:jc w:val="center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 xml:space="preserve">vs. </w:t>
      </w:r>
      <w:r>
        <w:rPr>
          <w:rFonts w:ascii="Aptos" w:hAnsi="Aptos" w:cs="Aparajita"/>
          <w:b/>
          <w:bCs/>
          <w:sz w:val="24"/>
          <w:szCs w:val="24"/>
          <w:lang w:val="en-US"/>
        </w:rPr>
        <w:t xml:space="preserve">2025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E</w:t>
      </w:r>
      <w:r>
        <w:rPr>
          <w:rFonts w:ascii="Aptos" w:hAnsi="Aptos" w:cs="Aparajita"/>
          <w:b/>
          <w:bCs/>
          <w:sz w:val="24"/>
          <w:szCs w:val="24"/>
          <w:lang w:val="en-US"/>
        </w:rPr>
        <w:t xml:space="preserve">conomic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D</w:t>
      </w:r>
      <w:r>
        <w:rPr>
          <w:rFonts w:ascii="Aptos" w:hAnsi="Aptos" w:cs="Aparajita"/>
          <w:b/>
          <w:bCs/>
          <w:sz w:val="24"/>
          <w:szCs w:val="24"/>
          <w:lang w:val="en-US"/>
        </w:rPr>
        <w:t>evelopment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 xml:space="preserve"> Strategic Plan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8"/>
        <w:gridCol w:w="2388"/>
        <w:gridCol w:w="2498"/>
        <w:gridCol w:w="2686"/>
      </w:tblGrid>
      <w:tr w:rsidR="00D832B4" w:rsidRPr="00D832B4" w14:paraId="3A138BDB" w14:textId="77777777" w:rsidTr="00D832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33C685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67538766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2021 Economic Development Plan (TIP Strategies)</w:t>
            </w:r>
          </w:p>
        </w:tc>
        <w:tc>
          <w:tcPr>
            <w:tcW w:w="0" w:type="auto"/>
            <w:vAlign w:val="center"/>
            <w:hideMark/>
          </w:tcPr>
          <w:p w14:paraId="0A7E3EE8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VBED Strategic Plan (Current)</w:t>
            </w:r>
          </w:p>
        </w:tc>
        <w:tc>
          <w:tcPr>
            <w:tcW w:w="0" w:type="auto"/>
            <w:vAlign w:val="center"/>
            <w:hideMark/>
          </w:tcPr>
          <w:p w14:paraId="283FFE82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Key Observations / Citizen Concerns</w:t>
            </w:r>
          </w:p>
        </w:tc>
      </w:tr>
      <w:tr w:rsidR="00D832B4" w:rsidRPr="00D832B4" w14:paraId="54DCD19B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9271A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Source &amp; Format</w:t>
            </w:r>
          </w:p>
        </w:tc>
        <w:tc>
          <w:tcPr>
            <w:tcW w:w="0" w:type="auto"/>
            <w:vAlign w:val="center"/>
            <w:hideMark/>
          </w:tcPr>
          <w:p w14:paraId="7D8DE26A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Consultant-prepared (TIP Strategies, Austin TX); comprehensive 43-page strategic and market analysis with appendices, metrics, and stakeholder data.</w:t>
            </w:r>
          </w:p>
        </w:tc>
        <w:tc>
          <w:tcPr>
            <w:tcW w:w="0" w:type="auto"/>
            <w:vAlign w:val="center"/>
            <w:hideMark/>
          </w:tcPr>
          <w:p w14:paraId="4733F1C5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City-prepared; shorter and more polished marketing document with streamlined goals, fewer specifics, and absence of supporting data or appendices.</w:t>
            </w:r>
          </w:p>
        </w:tc>
        <w:tc>
          <w:tcPr>
            <w:tcW w:w="0" w:type="auto"/>
            <w:vAlign w:val="center"/>
            <w:hideMark/>
          </w:tcPr>
          <w:p w14:paraId="2ECEF6BF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The shift from consultant-authored analysis to an internal promotional document suggests less independence and reduced transparency.</w:t>
            </w:r>
          </w:p>
        </w:tc>
      </w:tr>
      <w:tr w:rsidR="00D832B4" w:rsidRPr="00D832B4" w14:paraId="695433B7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20771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Mission Statement</w:t>
            </w:r>
          </w:p>
        </w:tc>
        <w:tc>
          <w:tcPr>
            <w:tcW w:w="0" w:type="auto"/>
            <w:vAlign w:val="center"/>
            <w:hideMark/>
          </w:tcPr>
          <w:p w14:paraId="69C4559C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i/>
                <w:iCs/>
                <w:sz w:val="24"/>
                <w:szCs w:val="24"/>
                <w:lang w:val="en-US"/>
              </w:rPr>
              <w:t>“Drive economic vitality and inclusive prosperity … through attraction and creation of new investment, innovation, and jobs.”</w:t>
            </w:r>
          </w:p>
        </w:tc>
        <w:tc>
          <w:tcPr>
            <w:tcW w:w="0" w:type="auto"/>
            <w:vAlign w:val="center"/>
            <w:hideMark/>
          </w:tcPr>
          <w:p w14:paraId="2C154087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i/>
                <w:iCs/>
                <w:sz w:val="24"/>
                <w:szCs w:val="24"/>
                <w:lang w:val="en-US"/>
              </w:rPr>
              <w:t>“Advance Virginia Beach as a globally competitive business destination, balancing innovation, infrastructure, and inclusivity.”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 xml:space="preserve"> (emphasis added)</w:t>
            </w:r>
          </w:p>
        </w:tc>
        <w:tc>
          <w:tcPr>
            <w:tcW w:w="0" w:type="auto"/>
            <w:vAlign w:val="center"/>
            <w:hideMark/>
          </w:tcPr>
          <w:p w14:paraId="46594260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“Inclusivity” remains, but “balancing innovation and infrastructure” reframes it toward developer-friendly language. The term “prosperity for all residents” has been removed.</w:t>
            </w:r>
          </w:p>
        </w:tc>
      </w:tr>
      <w:tr w:rsidR="00D832B4" w:rsidRPr="00D832B4" w14:paraId="0FE88C2B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0E153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Tone and Intent</w:t>
            </w:r>
          </w:p>
        </w:tc>
        <w:tc>
          <w:tcPr>
            <w:tcW w:w="0" w:type="auto"/>
            <w:vAlign w:val="center"/>
            <w:hideMark/>
          </w:tcPr>
          <w:p w14:paraId="5FE111EE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Analytical and diagnostic — heavy focus on strengths, weaknesses, and threats; intended to guide decisions.</w:t>
            </w:r>
          </w:p>
        </w:tc>
        <w:tc>
          <w:tcPr>
            <w:tcW w:w="0" w:type="auto"/>
            <w:vAlign w:val="center"/>
            <w:hideMark/>
          </w:tcPr>
          <w:p w14:paraId="5879BD10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Aspirational and promotional — geared toward branding and messaging rather than data-driven implementation.</w:t>
            </w:r>
          </w:p>
        </w:tc>
        <w:tc>
          <w:tcPr>
            <w:tcW w:w="0" w:type="auto"/>
            <w:vAlign w:val="center"/>
            <w:hideMark/>
          </w:tcPr>
          <w:p w14:paraId="5156F457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Citizens lose access to underlying evidence supporting claims; risk of “policy by marketing.”</w:t>
            </w:r>
          </w:p>
        </w:tc>
      </w:tr>
      <w:tr w:rsidR="00D832B4" w:rsidRPr="00D832B4" w14:paraId="2DC26886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609F0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Public Transparency</w:t>
            </w:r>
          </w:p>
        </w:tc>
        <w:tc>
          <w:tcPr>
            <w:tcW w:w="0" w:type="auto"/>
            <w:vAlign w:val="center"/>
            <w:hideMark/>
          </w:tcPr>
          <w:p w14:paraId="6AC81E7E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Emphasized stakeholder engagement, interviews, and data dashboards (Economic Explorer Tableau tool).</w:t>
            </w:r>
          </w:p>
        </w:tc>
        <w:tc>
          <w:tcPr>
            <w:tcW w:w="0" w:type="auto"/>
            <w:vAlign w:val="center"/>
            <w:hideMark/>
          </w:tcPr>
          <w:p w14:paraId="1A46AD9B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Lacks metrics or references to citizen engagement; emphasizes leadership initiatives and partnerships.</w:t>
            </w:r>
          </w:p>
        </w:tc>
        <w:tc>
          <w:tcPr>
            <w:tcW w:w="0" w:type="auto"/>
            <w:vAlign w:val="center"/>
            <w:hideMark/>
          </w:tcPr>
          <w:p w14:paraId="247EC117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The removal of performance metrics weakens accountability and measurement.</w:t>
            </w:r>
          </w:p>
        </w:tc>
      </w:tr>
      <w:tr w:rsidR="00D832B4" w:rsidRPr="00D832B4" w14:paraId="25FBB623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09601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Land Use &amp; Industrial Strategy</w:t>
            </w:r>
          </w:p>
        </w:tc>
        <w:tc>
          <w:tcPr>
            <w:tcW w:w="0" w:type="auto"/>
            <w:vAlign w:val="center"/>
            <w:hideMark/>
          </w:tcPr>
          <w:p w14:paraId="60F7561D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 xml:space="preserve">Explicit call for preserving industrial land, prohibiting rezoning, and 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>acquiring new manufacturing sites (e.g., 750-acre tract near Innovation Park).</w:t>
            </w:r>
          </w:p>
        </w:tc>
        <w:tc>
          <w:tcPr>
            <w:tcW w:w="0" w:type="auto"/>
            <w:vAlign w:val="center"/>
            <w:hideMark/>
          </w:tcPr>
          <w:p w14:paraId="0BAF87C1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 xml:space="preserve">Recasts these areas as “development opportunities” under “Strategic Growth 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>Areas”; mentions “Innovation Districts” and “redevelopment zones.”</w:t>
            </w:r>
          </w:p>
        </w:tc>
        <w:tc>
          <w:tcPr>
            <w:tcW w:w="0" w:type="auto"/>
            <w:vAlign w:val="center"/>
            <w:hideMark/>
          </w:tcPr>
          <w:p w14:paraId="67F7BC32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 xml:space="preserve">Shift from </w:t>
            </w: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industrial preservation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 xml:space="preserve"> to </w:t>
            </w: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urban redevelopment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 xml:space="preserve"> favors higher-density 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>commercial projects over blue-collar job growth. Citizens should question what “innovation” means in practice.</w:t>
            </w:r>
          </w:p>
        </w:tc>
      </w:tr>
      <w:tr w:rsidR="00D832B4" w:rsidRPr="00D832B4" w14:paraId="7E1CC54A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72CBD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lastRenderedPageBreak/>
              <w:t>Military &amp; Oceana Coordination</w:t>
            </w:r>
          </w:p>
        </w:tc>
        <w:tc>
          <w:tcPr>
            <w:tcW w:w="0" w:type="auto"/>
            <w:vAlign w:val="center"/>
            <w:hideMark/>
          </w:tcPr>
          <w:p w14:paraId="10CC2834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Recommended partnership for “Future Base Design” with limits on employee-intensive uses (data centers, warehousing).</w:t>
            </w:r>
          </w:p>
        </w:tc>
        <w:tc>
          <w:tcPr>
            <w:tcW w:w="0" w:type="auto"/>
            <w:vAlign w:val="center"/>
            <w:hideMark/>
          </w:tcPr>
          <w:p w14:paraId="032F08B1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Reframes Oceana collaboration as “transformative redevelopment opportunity” and implies mixed-use potential.</w:t>
            </w:r>
          </w:p>
        </w:tc>
        <w:tc>
          <w:tcPr>
            <w:tcW w:w="0" w:type="auto"/>
            <w:vAlign w:val="center"/>
            <w:hideMark/>
          </w:tcPr>
          <w:p w14:paraId="3E6D31D0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Potential mission creep: opening Oceana-related lands to broader commercial development may undermine the original base-protection intent.</w:t>
            </w:r>
          </w:p>
        </w:tc>
      </w:tr>
      <w:tr w:rsidR="00D832B4" w:rsidRPr="00D832B4" w14:paraId="6D238C6B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998BA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Workforce &amp; Education</w:t>
            </w:r>
          </w:p>
        </w:tc>
        <w:tc>
          <w:tcPr>
            <w:tcW w:w="0" w:type="auto"/>
            <w:vAlign w:val="center"/>
            <w:hideMark/>
          </w:tcPr>
          <w:p w14:paraId="40F4E053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 xml:space="preserve">Focused on veterans, local colleges, and apprenticeship programs (TCC, Wesleyan, EVMS, </w:t>
            </w:r>
            <w:proofErr w:type="spellStart"/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GrowSmart</w:t>
            </w:r>
            <w:proofErr w:type="spellEnd"/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0D4EB84E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Adds “workforce pipeline alignment with private sector innovation hubs.”</w:t>
            </w:r>
          </w:p>
        </w:tc>
        <w:tc>
          <w:tcPr>
            <w:tcW w:w="0" w:type="auto"/>
            <w:vAlign w:val="center"/>
            <w:hideMark/>
          </w:tcPr>
          <w:p w14:paraId="20014E3F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Language implies private sector control over training priorities, possibly diminishing public education’s role.</w:t>
            </w:r>
          </w:p>
        </w:tc>
      </w:tr>
      <w:tr w:rsidR="00D832B4" w:rsidRPr="00D832B4" w14:paraId="68D7D5C2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ED44B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Measurement &amp; Accountability</w:t>
            </w:r>
          </w:p>
        </w:tc>
        <w:tc>
          <w:tcPr>
            <w:tcW w:w="0" w:type="auto"/>
            <w:vAlign w:val="center"/>
            <w:hideMark/>
          </w:tcPr>
          <w:p w14:paraId="24B2F89F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13 detailed performance metrics (job growth, wage levels, livable wages, startup survival, migration, talent availability, etc.).</w:t>
            </w:r>
          </w:p>
        </w:tc>
        <w:tc>
          <w:tcPr>
            <w:tcW w:w="0" w:type="auto"/>
            <w:vAlign w:val="center"/>
            <w:hideMark/>
          </w:tcPr>
          <w:p w14:paraId="00F8A828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No public-facing metrics; focuses on “strategic outcomes” without numeric targets.</w:t>
            </w:r>
          </w:p>
        </w:tc>
        <w:tc>
          <w:tcPr>
            <w:tcW w:w="0" w:type="auto"/>
            <w:vAlign w:val="center"/>
            <w:hideMark/>
          </w:tcPr>
          <w:p w14:paraId="5E57C971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Citizens lose a way to track performance, investment ROI, or whether the City is meeting its economic equity goals.</w:t>
            </w:r>
          </w:p>
        </w:tc>
      </w:tr>
      <w:tr w:rsidR="00D832B4" w:rsidRPr="00D832B4" w14:paraId="656329B7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05363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Use of Incentives</w:t>
            </w:r>
          </w:p>
        </w:tc>
        <w:tc>
          <w:tcPr>
            <w:tcW w:w="0" w:type="auto"/>
            <w:vAlign w:val="center"/>
            <w:hideMark/>
          </w:tcPr>
          <w:p w14:paraId="47FBC39F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Recommended limited, performance-based incentives; highlighted transparency and return-on-investment tracking.</w:t>
            </w:r>
          </w:p>
        </w:tc>
        <w:tc>
          <w:tcPr>
            <w:tcW w:w="0" w:type="auto"/>
            <w:vAlign w:val="center"/>
            <w:hideMark/>
          </w:tcPr>
          <w:p w14:paraId="208C8F9E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Encourages “creative incentive packages” and “streamlined approvals” for developers.</w:t>
            </w:r>
          </w:p>
        </w:tc>
        <w:tc>
          <w:tcPr>
            <w:tcW w:w="0" w:type="auto"/>
            <w:vAlign w:val="center"/>
            <w:hideMark/>
          </w:tcPr>
          <w:p w14:paraId="4B6E669B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>The language moves toward accelerated approvals and fewer checks — concerning for fiscal oversight.</w:t>
            </w:r>
          </w:p>
        </w:tc>
      </w:tr>
      <w:tr w:rsidR="00D832B4" w:rsidRPr="00D832B4" w14:paraId="7362DFBB" w14:textId="77777777" w:rsidTr="00D832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4306B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b/>
                <w:bCs/>
                <w:sz w:val="24"/>
                <w:szCs w:val="24"/>
                <w:lang w:val="en-US"/>
              </w:rPr>
              <w:t>Public Role &amp; Oversight</w:t>
            </w:r>
          </w:p>
        </w:tc>
        <w:tc>
          <w:tcPr>
            <w:tcW w:w="0" w:type="auto"/>
            <w:vAlign w:val="center"/>
            <w:hideMark/>
          </w:tcPr>
          <w:p w14:paraId="5B0231AA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t xml:space="preserve">Encouraged collaboration with 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>civic leagues, workforce councils, and the VBDA under defined guardrails.</w:t>
            </w:r>
          </w:p>
        </w:tc>
        <w:tc>
          <w:tcPr>
            <w:tcW w:w="0" w:type="auto"/>
            <w:vAlign w:val="center"/>
            <w:hideMark/>
          </w:tcPr>
          <w:p w14:paraId="7E383AD1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 xml:space="preserve">Refers to “stakeholder collaboration” but 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>does not define who the stakeholders are.</w:t>
            </w:r>
          </w:p>
        </w:tc>
        <w:tc>
          <w:tcPr>
            <w:tcW w:w="0" w:type="auto"/>
            <w:vAlign w:val="center"/>
            <w:hideMark/>
          </w:tcPr>
          <w:p w14:paraId="4E3571FD" w14:textId="77777777" w:rsidR="00D832B4" w:rsidRPr="00D832B4" w:rsidRDefault="00D832B4" w:rsidP="00D832B4">
            <w:pPr>
              <w:spacing w:after="0" w:line="240" w:lineRule="auto"/>
              <w:rPr>
                <w:rFonts w:ascii="Aptos" w:hAnsi="Aptos" w:cs="Aparajita"/>
                <w:sz w:val="24"/>
                <w:szCs w:val="24"/>
                <w:lang w:val="en-US"/>
              </w:rPr>
            </w:pP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 xml:space="preserve">The omission of civic bodies and </w:t>
            </w:r>
            <w:r w:rsidRPr="00D832B4">
              <w:rPr>
                <w:rFonts w:ascii="Aptos" w:hAnsi="Aptos" w:cs="Aparajita"/>
                <w:sz w:val="24"/>
                <w:szCs w:val="24"/>
                <w:lang w:val="en-US"/>
              </w:rPr>
              <w:lastRenderedPageBreak/>
              <w:t>neighborhood input signals consolidation of decision-making within City Hall and business circles.</w:t>
            </w:r>
          </w:p>
        </w:tc>
      </w:tr>
    </w:tbl>
    <w:p w14:paraId="332E0D8F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lastRenderedPageBreak/>
        <w:pict w14:anchorId="3D82B015">
          <v:rect id="_x0000_i1061" style="width:0;height:1.5pt" o:hralign="center" o:hrstd="t" o:hr="t" fillcolor="#a0a0a0" stroked="f"/>
        </w:pict>
      </w:r>
    </w:p>
    <w:p w14:paraId="08CAEDE9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Segoe UI Emoji" w:hAnsi="Segoe UI Emoji" w:cs="Segoe UI Emoji"/>
          <w:b/>
          <w:bCs/>
          <w:sz w:val="24"/>
          <w:szCs w:val="24"/>
          <w:lang w:val="en-US"/>
        </w:rPr>
        <w:t>⚖️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 xml:space="preserve"> Commentary on Emerging Changes</w:t>
      </w:r>
    </w:p>
    <w:p w14:paraId="6C15B7A4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1. Shift from Analysis to Marketing</w:t>
      </w:r>
    </w:p>
    <w:p w14:paraId="18331108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t xml:space="preserve">The 2021 plan was data-rich and independent; the new plan functions more like a sales brochure. Metrics, SWOT analysis, and demographic projections have vanished — replaced by vague phrases like </w:t>
      </w:r>
      <w:r w:rsidRPr="00D832B4">
        <w:rPr>
          <w:rFonts w:ascii="Aptos" w:hAnsi="Aptos" w:cs="Aparajita"/>
          <w:i/>
          <w:iCs/>
          <w:sz w:val="24"/>
          <w:szCs w:val="24"/>
          <w:lang w:val="en-US"/>
        </w:rPr>
        <w:t>“global competitiveness”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and </w:t>
      </w:r>
      <w:r w:rsidRPr="00D832B4">
        <w:rPr>
          <w:rFonts w:ascii="Aptos" w:hAnsi="Aptos" w:cs="Aparajita"/>
          <w:i/>
          <w:iCs/>
          <w:sz w:val="24"/>
          <w:szCs w:val="24"/>
          <w:lang w:val="en-US"/>
        </w:rPr>
        <w:t>“innovation ecosystems.”</w:t>
      </w:r>
      <w:r w:rsidRPr="00D832B4">
        <w:rPr>
          <w:rFonts w:ascii="Aptos" w:hAnsi="Aptos" w:cs="Aparajita"/>
          <w:sz w:val="24"/>
          <w:szCs w:val="24"/>
          <w:lang w:val="en-US"/>
        </w:rPr>
        <w:br/>
      </w:r>
      <w:r w:rsidRPr="00D832B4">
        <w:rPr>
          <w:rFonts w:ascii="Segoe UI Emoji" w:hAnsi="Segoe UI Emoji" w:cs="Segoe UI Emoji"/>
          <w:sz w:val="24"/>
          <w:szCs w:val="24"/>
          <w:lang w:val="en-US"/>
        </w:rPr>
        <w:t>➡️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Citizen concern: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Decisions about zoning, incentives, and infrastructure now lack a clear factual basis accessible to the public.</w:t>
      </w:r>
    </w:p>
    <w:p w14:paraId="7A211C85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pict w14:anchorId="59A9DDC9">
          <v:rect id="_x0000_i1062" style="width:0;height:1.5pt" o:hralign="center" o:hrstd="t" o:hr="t" fillcolor="#a0a0a0" stroked="f"/>
        </w:pict>
      </w:r>
    </w:p>
    <w:p w14:paraId="6350187E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2. Industrial Land Reclassification</w:t>
      </w:r>
    </w:p>
    <w:p w14:paraId="12C8957C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t>The original plan warned against rezoning industrial lands to other uses. The newer version uses “innovation” and “growth corridors” language that conceals potential land-use changes.</w:t>
      </w:r>
      <w:r w:rsidRPr="00D832B4">
        <w:rPr>
          <w:rFonts w:ascii="Aptos" w:hAnsi="Aptos" w:cs="Aparajita"/>
          <w:sz w:val="24"/>
          <w:szCs w:val="24"/>
          <w:lang w:val="en-US"/>
        </w:rPr>
        <w:br/>
      </w:r>
      <w:r w:rsidRPr="00D832B4">
        <w:rPr>
          <w:rFonts w:ascii="Segoe UI Emoji" w:hAnsi="Segoe UI Emoji" w:cs="Segoe UI Emoji"/>
          <w:sz w:val="24"/>
          <w:szCs w:val="24"/>
          <w:lang w:val="en-US"/>
        </w:rPr>
        <w:t>➡️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Implication: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Areas like Burton Station, Oceana West, and Princess Anne Commons could be quietly transitioned from light industrial to mixed-use commercial or high-density housing — a permanent loss of employment land.</w:t>
      </w:r>
    </w:p>
    <w:p w14:paraId="341B6541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pict w14:anchorId="64AE3EC9">
          <v:rect id="_x0000_i1063" style="width:0;height:1.5pt" o:hralign="center" o:hrstd="t" o:hr="t" fillcolor="#a0a0a0" stroked="f"/>
        </w:pict>
      </w:r>
    </w:p>
    <w:p w14:paraId="1A0832BA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3. Economic Inclusion Fades</w:t>
      </w:r>
    </w:p>
    <w:p w14:paraId="478EC151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t>The 2021 version repeatedly mentioned small, women-, and minority-owned (</w:t>
      </w:r>
      <w:proofErr w:type="spellStart"/>
      <w:r w:rsidRPr="00D832B4">
        <w:rPr>
          <w:rFonts w:ascii="Aptos" w:hAnsi="Aptos" w:cs="Aparajita"/>
          <w:sz w:val="24"/>
          <w:szCs w:val="24"/>
          <w:lang w:val="en-US"/>
        </w:rPr>
        <w:t>SWaM</w:t>
      </w:r>
      <w:proofErr w:type="spellEnd"/>
      <w:r w:rsidRPr="00D832B4">
        <w:rPr>
          <w:rFonts w:ascii="Aptos" w:hAnsi="Aptos" w:cs="Aparajita"/>
          <w:sz w:val="24"/>
          <w:szCs w:val="24"/>
          <w:lang w:val="en-US"/>
        </w:rPr>
        <w:t xml:space="preserve">) businesses and local entrepreneurship through </w:t>
      </w:r>
      <w:r w:rsidRPr="00D832B4">
        <w:rPr>
          <w:rFonts w:ascii="Aptos" w:hAnsi="Aptos" w:cs="Aparajita"/>
          <w:i/>
          <w:iCs/>
          <w:sz w:val="24"/>
          <w:szCs w:val="24"/>
          <w:lang w:val="en-US"/>
        </w:rPr>
        <w:t>The Hive</w:t>
      </w:r>
      <w:r w:rsidRPr="00D832B4">
        <w:rPr>
          <w:rFonts w:ascii="Aptos" w:hAnsi="Aptos" w:cs="Aparajita"/>
          <w:sz w:val="24"/>
          <w:szCs w:val="24"/>
          <w:lang w:val="en-US"/>
        </w:rPr>
        <w:t>. The new plan minimizes those references, focusing on “major corporate partnerships.”</w:t>
      </w:r>
      <w:r w:rsidRPr="00D832B4">
        <w:rPr>
          <w:rFonts w:ascii="Aptos" w:hAnsi="Aptos" w:cs="Aparajita"/>
          <w:sz w:val="24"/>
          <w:szCs w:val="24"/>
          <w:lang w:val="en-US"/>
        </w:rPr>
        <w:br/>
      </w:r>
      <w:r w:rsidRPr="00D832B4">
        <w:rPr>
          <w:rFonts w:ascii="Segoe UI Emoji" w:hAnsi="Segoe UI Emoji" w:cs="Segoe UI Emoji"/>
          <w:sz w:val="24"/>
          <w:szCs w:val="24"/>
          <w:lang w:val="en-US"/>
        </w:rPr>
        <w:t>➡️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Result: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The small business and local entrepreneurial ecosystem appears deprioritized.</w:t>
      </w:r>
    </w:p>
    <w:p w14:paraId="4A9B1FA9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pict w14:anchorId="0BAB8BE6">
          <v:rect id="_x0000_i1064" style="width:0;height:1.5pt" o:hralign="center" o:hrstd="t" o:hr="t" fillcolor="#a0a0a0" stroked="f"/>
        </w:pict>
      </w:r>
    </w:p>
    <w:p w14:paraId="3C1A6B10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4. Transparency and Accountability Decline</w:t>
      </w:r>
    </w:p>
    <w:p w14:paraId="5C8A2864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t>The prior plan’s Tableau-based “Economic Explorer” and specific metrics enabled the public to monitor progress. None of that appears in the new plan.</w:t>
      </w:r>
      <w:r w:rsidRPr="00D832B4">
        <w:rPr>
          <w:rFonts w:ascii="Aptos" w:hAnsi="Aptos" w:cs="Aparajita"/>
          <w:sz w:val="24"/>
          <w:szCs w:val="24"/>
          <w:lang w:val="en-US"/>
        </w:rPr>
        <w:br/>
      </w:r>
      <w:r w:rsidRPr="00D832B4">
        <w:rPr>
          <w:rFonts w:ascii="Segoe UI Emoji" w:hAnsi="Segoe UI Emoji" w:cs="Segoe UI Emoji"/>
          <w:sz w:val="24"/>
          <w:szCs w:val="24"/>
          <w:lang w:val="en-US"/>
        </w:rPr>
        <w:t>➡️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Concern: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Without measurable benchmarks, residents and City Council cannot evaluate whether goals are being met — only whether projects “look good.”</w:t>
      </w:r>
    </w:p>
    <w:p w14:paraId="3B3C6D87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pict w14:anchorId="4F22B917">
          <v:rect id="_x0000_i1065" style="width:0;height:1.5pt" o:hralign="center" o:hrstd="t" o:hr="t" fillcolor="#a0a0a0" stroked="f"/>
        </w:pict>
      </w:r>
    </w:p>
    <w:p w14:paraId="1842AEC9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5. Governance and Oversight</w:t>
      </w:r>
    </w:p>
    <w:p w14:paraId="51380739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lastRenderedPageBreak/>
        <w:t>The 2021 plan stressed collaboration through the Virginia Beach Development Authority (VBDA) and City Council oversight. The new plan’s language gives the Economic Development Department broader discretion and narrative control.</w:t>
      </w:r>
      <w:r w:rsidRPr="00D832B4">
        <w:rPr>
          <w:rFonts w:ascii="Aptos" w:hAnsi="Aptos" w:cs="Aparajita"/>
          <w:sz w:val="24"/>
          <w:szCs w:val="24"/>
          <w:lang w:val="en-US"/>
        </w:rPr>
        <w:br/>
      </w:r>
      <w:r w:rsidRPr="00D832B4">
        <w:rPr>
          <w:rFonts w:ascii="Segoe UI Emoji" w:hAnsi="Segoe UI Emoji" w:cs="Segoe UI Emoji"/>
          <w:sz w:val="24"/>
          <w:szCs w:val="24"/>
          <w:lang w:val="en-US"/>
        </w:rPr>
        <w:t>➡️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Citizen takeaway: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This could limit public debate on projects before they are publicly announced — an erosion of process transparency.</w:t>
      </w:r>
    </w:p>
    <w:p w14:paraId="6D79E401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pict w14:anchorId="02238C96">
          <v:rect id="_x0000_i1066" style="width:0;height:1.5pt" o:hralign="center" o:hrstd="t" o:hr="t" fillcolor="#a0a0a0" stroked="f"/>
        </w:pict>
      </w:r>
    </w:p>
    <w:p w14:paraId="782CF372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D832B4">
        <w:rPr>
          <w:rFonts w:ascii="Segoe UI Emoji" w:hAnsi="Segoe UI Emoji" w:cs="Segoe UI Emoji"/>
          <w:b/>
          <w:bCs/>
          <w:sz w:val="24"/>
          <w:szCs w:val="24"/>
          <w:lang w:val="en-US"/>
        </w:rPr>
        <w:t>🧭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 xml:space="preserve"> Conclusion</w:t>
      </w:r>
    </w:p>
    <w:p w14:paraId="6F844AA2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t xml:space="preserve">From a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citizen’s perspective</w:t>
      </w:r>
      <w:r w:rsidRPr="00D832B4">
        <w:rPr>
          <w:rFonts w:ascii="Aptos" w:hAnsi="Aptos" w:cs="Aparajita"/>
          <w:sz w:val="24"/>
          <w:szCs w:val="24"/>
          <w:lang w:val="en-US"/>
        </w:rPr>
        <w:t>, the 2021 Economic Development Plan was a strategic and data-grounded framework emphasizing accountability, balanced growth, and preservation of industrial employment land.</w:t>
      </w:r>
      <w:r w:rsidRPr="00D832B4">
        <w:rPr>
          <w:rFonts w:ascii="Aptos" w:hAnsi="Aptos" w:cs="Aparajita"/>
          <w:sz w:val="24"/>
          <w:szCs w:val="24"/>
          <w:lang w:val="en-US"/>
        </w:rPr>
        <w:br/>
        <w:t xml:space="preserve">The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new VBED Strategic Plan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transforms that framework into a public relations document emphasizing growth, branding, and developer flexibility — with fewer safeguards for transparency or public input.</w:t>
      </w:r>
    </w:p>
    <w:p w14:paraId="41300A2F" w14:textId="77777777" w:rsidR="00D832B4" w:rsidRPr="00D832B4" w:rsidRDefault="00D832B4" w:rsidP="00D832B4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D832B4">
        <w:rPr>
          <w:rFonts w:ascii="Aptos" w:hAnsi="Aptos" w:cs="Aparajita"/>
          <w:sz w:val="24"/>
          <w:szCs w:val="24"/>
          <w:lang w:val="en-US"/>
        </w:rPr>
        <w:t xml:space="preserve">If you’d like, I can prepare a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redline version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of the 2021 plan’s goals vs. the new VBED plan’s equivalents, showing where key terms (“industrial preservation,” “metrics,” “inclusive prosperity,” etc.) have been </w:t>
      </w:r>
      <w:r w:rsidRPr="00D832B4">
        <w:rPr>
          <w:rFonts w:ascii="Aptos" w:hAnsi="Aptos" w:cs="Aparajita"/>
          <w:b/>
          <w:bCs/>
          <w:sz w:val="24"/>
          <w:szCs w:val="24"/>
          <w:lang w:val="en-US"/>
        </w:rPr>
        <w:t>removed or reworded</w:t>
      </w:r>
      <w:r w:rsidRPr="00D832B4">
        <w:rPr>
          <w:rFonts w:ascii="Aptos" w:hAnsi="Aptos" w:cs="Aparajita"/>
          <w:sz w:val="24"/>
          <w:szCs w:val="24"/>
          <w:lang w:val="en-US"/>
        </w:rPr>
        <w:t xml:space="preserve"> — suitable for presentation to City Council or civic groups. Would you like me to create that next?</w:t>
      </w:r>
    </w:p>
    <w:p w14:paraId="1C66DC0D" w14:textId="204C8652" w:rsidR="00553DBF" w:rsidRPr="00F15181" w:rsidRDefault="00553DBF" w:rsidP="00F15181">
      <w:pPr>
        <w:spacing w:after="0" w:line="240" w:lineRule="auto"/>
        <w:rPr>
          <w:rFonts w:ascii="Aptos" w:hAnsi="Aptos" w:cs="Aparajita"/>
          <w:sz w:val="24"/>
          <w:szCs w:val="24"/>
        </w:rPr>
      </w:pPr>
    </w:p>
    <w:sectPr w:rsidR="00553DBF" w:rsidRPr="00F151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7874" w14:textId="77777777" w:rsidR="00E82500" w:rsidRDefault="00E82500">
      <w:pPr>
        <w:spacing w:after="0" w:line="240" w:lineRule="auto"/>
      </w:pPr>
      <w:r>
        <w:separator/>
      </w:r>
    </w:p>
  </w:endnote>
  <w:endnote w:type="continuationSeparator" w:id="0">
    <w:p w14:paraId="35BA0139" w14:textId="77777777" w:rsidR="00E82500" w:rsidRDefault="00E82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381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3B56" w14:textId="1609ACFC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5C4A">
      <w:rPr>
        <w:noProof/>
        <w:color w:val="000000"/>
      </w:rPr>
      <w:t>2</w:t>
    </w:r>
    <w:r>
      <w:rPr>
        <w:color w:val="000000"/>
      </w:rPr>
      <w:fldChar w:fldCharType="end"/>
    </w:r>
  </w:p>
  <w:p w14:paraId="15514C3A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7B30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E4D2" w14:textId="77777777" w:rsidR="00E82500" w:rsidRDefault="00E82500">
      <w:pPr>
        <w:spacing w:after="0" w:line="240" w:lineRule="auto"/>
      </w:pPr>
      <w:r>
        <w:separator/>
      </w:r>
    </w:p>
  </w:footnote>
  <w:footnote w:type="continuationSeparator" w:id="0">
    <w:p w14:paraId="5C255684" w14:textId="77777777" w:rsidR="00E82500" w:rsidRDefault="00E82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07A6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20D4C406" wp14:editId="1D70E197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0D443F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70FFEFAA" w14:textId="77777777" w:rsidR="008E2BE7" w:rsidRDefault="008E2BE7">
    <w:pPr>
      <w:spacing w:after="0" w:line="240" w:lineRule="auto"/>
      <w:ind w:left="3600"/>
      <w:rPr>
        <w:rFonts w:ascii="Aptos" w:eastAsia="Aptos" w:hAnsi="Aptos" w:cs="Aptos"/>
      </w:rPr>
    </w:pPr>
  </w:p>
  <w:p w14:paraId="259A313D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275FBAF7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1E946C5A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3F0D6B46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00D92736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5C200BC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45B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E8B154E" wp14:editId="08BD14B3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F8302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5921D4F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01F30D0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64467E9B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7F73F6B2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1D76" w14:textId="2D58FDED" w:rsidR="008E2BE7" w:rsidRDefault="008451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hidden="0" allowOverlap="1" wp14:anchorId="58CFD5D1" wp14:editId="5A7B4452">
          <wp:simplePos x="0" y="0"/>
          <wp:positionH relativeFrom="column">
            <wp:posOffset>-352425</wp:posOffset>
          </wp:positionH>
          <wp:positionV relativeFrom="paragraph">
            <wp:posOffset>-247650</wp:posOffset>
          </wp:positionV>
          <wp:extent cx="1228725" cy="1233170"/>
          <wp:effectExtent l="0" t="0" r="9525" b="5080"/>
          <wp:wrapNone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15181">
      <w:rPr>
        <w:b/>
        <w:color w:val="000000"/>
        <w:sz w:val="36"/>
        <w:szCs w:val="36"/>
      </w:rPr>
      <w:t>Virginia Beach Council of Civic Organizations</w:t>
    </w:r>
  </w:p>
  <w:p w14:paraId="0364E727" w14:textId="465071AC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</w:t>
    </w:r>
    <w:r w:rsidR="00E56E44">
      <w:rPr>
        <w:color w:val="000000"/>
      </w:rPr>
      <w:t>6</w:t>
    </w:r>
    <w:r>
      <w:rPr>
        <w:color w:val="000000"/>
      </w:rPr>
      <w:t xml:space="preserve"> years</w:t>
    </w:r>
  </w:p>
  <w:p w14:paraId="510467E2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31122317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1FD908F7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6439BCE0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B61"/>
    <w:multiLevelType w:val="multilevel"/>
    <w:tmpl w:val="3588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63719"/>
    <w:multiLevelType w:val="multilevel"/>
    <w:tmpl w:val="016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41EC5"/>
    <w:multiLevelType w:val="multilevel"/>
    <w:tmpl w:val="3554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50380"/>
    <w:multiLevelType w:val="multilevel"/>
    <w:tmpl w:val="EC30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2C6D94"/>
    <w:multiLevelType w:val="multilevel"/>
    <w:tmpl w:val="1B60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696023"/>
    <w:multiLevelType w:val="multilevel"/>
    <w:tmpl w:val="C9BA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8B6BE0"/>
    <w:multiLevelType w:val="multilevel"/>
    <w:tmpl w:val="9B3A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880162">
    <w:abstractNumId w:val="5"/>
  </w:num>
  <w:num w:numId="2" w16cid:durableId="965308692">
    <w:abstractNumId w:val="2"/>
  </w:num>
  <w:num w:numId="3" w16cid:durableId="305823109">
    <w:abstractNumId w:val="6"/>
  </w:num>
  <w:num w:numId="4" w16cid:durableId="2079352897">
    <w:abstractNumId w:val="3"/>
  </w:num>
  <w:num w:numId="5" w16cid:durableId="1736855036">
    <w:abstractNumId w:val="4"/>
  </w:num>
  <w:num w:numId="6" w16cid:durableId="1533808250">
    <w:abstractNumId w:val="0"/>
  </w:num>
  <w:num w:numId="7" w16cid:durableId="130412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E7"/>
    <w:rsid w:val="00023642"/>
    <w:rsid w:val="0009441A"/>
    <w:rsid w:val="000F3168"/>
    <w:rsid w:val="001E5EA1"/>
    <w:rsid w:val="003058B8"/>
    <w:rsid w:val="004517A9"/>
    <w:rsid w:val="00456E82"/>
    <w:rsid w:val="00465C4A"/>
    <w:rsid w:val="0051336B"/>
    <w:rsid w:val="00553DBF"/>
    <w:rsid w:val="00614749"/>
    <w:rsid w:val="007513E4"/>
    <w:rsid w:val="008451B3"/>
    <w:rsid w:val="008E2BE7"/>
    <w:rsid w:val="008F2574"/>
    <w:rsid w:val="00906EEF"/>
    <w:rsid w:val="00986D9C"/>
    <w:rsid w:val="00A867C5"/>
    <w:rsid w:val="00BF2208"/>
    <w:rsid w:val="00C479A4"/>
    <w:rsid w:val="00CF1961"/>
    <w:rsid w:val="00D832B4"/>
    <w:rsid w:val="00D876AC"/>
    <w:rsid w:val="00DC55F7"/>
    <w:rsid w:val="00DD29B6"/>
    <w:rsid w:val="00E24479"/>
    <w:rsid w:val="00E245ED"/>
    <w:rsid w:val="00E56E44"/>
    <w:rsid w:val="00E82500"/>
    <w:rsid w:val="00F001C6"/>
    <w:rsid w:val="00F15181"/>
    <w:rsid w:val="00F33357"/>
    <w:rsid w:val="00FA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746BD"/>
  <w15:docId w15:val="{09713848-EE61-4AF3-98CB-C92BAAF3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Networks, Inc.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2</cp:revision>
  <dcterms:created xsi:type="dcterms:W3CDTF">2025-10-22T00:15:00Z</dcterms:created>
  <dcterms:modified xsi:type="dcterms:W3CDTF">2025-10-22T00:15:00Z</dcterms:modified>
</cp:coreProperties>
</file>