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17468" w14:textId="77777777" w:rsidR="00EE40BE" w:rsidRPr="00521524" w:rsidRDefault="00EE40BE" w:rsidP="00EE40BE">
      <w:pPr>
        <w:jc w:val="center"/>
        <w:rPr>
          <w:b/>
          <w:bCs/>
          <w:sz w:val="36"/>
          <w:szCs w:val="36"/>
          <w:lang w:val="en-US"/>
        </w:rPr>
      </w:pPr>
      <w:r w:rsidRPr="00521524">
        <w:rPr>
          <w:b/>
          <w:bCs/>
          <w:sz w:val="36"/>
          <w:szCs w:val="36"/>
          <w:lang w:val="en-US"/>
        </w:rPr>
        <w:t>Attainable Workforce Housing Performance Grant (AWHP): Civic Impact Analysis</w:t>
      </w:r>
    </w:p>
    <w:p w14:paraId="44FB90FF" w14:textId="77777777" w:rsidR="00EE40BE" w:rsidRPr="00521524" w:rsidRDefault="00EE40BE" w:rsidP="00EE40BE">
      <w:pPr>
        <w:rPr>
          <w:b/>
          <w:bCs/>
          <w:lang w:val="en-US"/>
        </w:rPr>
      </w:pPr>
      <w:r w:rsidRPr="00521524">
        <w:rPr>
          <w:b/>
          <w:bCs/>
          <w:lang w:val="en-US"/>
        </w:rPr>
        <w:t>Overview of the AWHP Program</w:t>
      </w:r>
    </w:p>
    <w:p w14:paraId="01F670F7" w14:textId="4CC9475C" w:rsidR="00EE40BE" w:rsidRPr="00521524" w:rsidRDefault="00EE40BE" w:rsidP="00EE40BE">
      <w:pPr>
        <w:rPr>
          <w:lang w:val="en-US"/>
        </w:rPr>
      </w:pPr>
      <w:r w:rsidRPr="00521524">
        <w:rPr>
          <w:lang w:val="en-US"/>
        </w:rPr>
        <w:t xml:space="preserve">The </w:t>
      </w:r>
      <w:r w:rsidRPr="00521524">
        <w:rPr>
          <w:b/>
          <w:bCs/>
          <w:lang w:val="en-US"/>
        </w:rPr>
        <w:t>Attainable Workforce Housing Performance Grant (AWHP)</w:t>
      </w:r>
      <w:r w:rsidRPr="00521524">
        <w:rPr>
          <w:lang w:val="en-US"/>
        </w:rPr>
        <w:t xml:space="preserve"> is a new incentive program launched by the City of Virginia Beach in partnership with the Virginia Beach Development Authority (VBDA)</w:t>
      </w:r>
      <w:r w:rsidR="00070ED3">
        <w:rPr>
          <w:lang w:val="en-US"/>
        </w:rPr>
        <w:t xml:space="preserve"> </w:t>
      </w:r>
      <w:hyperlink r:id="rId8" w:anchor=":~:text=Developers%20interested%20in%20expanding%20affordable,of%20the%20Area%20Median%20Income" w:tgtFrame="_blank" w:history="1">
        <w:r w:rsidRPr="00521524">
          <w:rPr>
            <w:rStyle w:val="Hyperlink"/>
            <w:lang w:val="en-US"/>
          </w:rPr>
          <w:t>virginiabeach.gov</w:t>
        </w:r>
      </w:hyperlink>
      <w:r w:rsidRPr="00521524">
        <w:rPr>
          <w:lang w:val="en-US"/>
        </w:rPr>
        <w:t xml:space="preserve">. It is designed to spur the private development of </w:t>
      </w:r>
      <w:r w:rsidRPr="00521524">
        <w:rPr>
          <w:b/>
          <w:bCs/>
          <w:lang w:val="en-US"/>
        </w:rPr>
        <w:t>safe, affordable multifamily rental housing</w:t>
      </w:r>
      <w:r w:rsidRPr="00521524">
        <w:rPr>
          <w:lang w:val="en-US"/>
        </w:rPr>
        <w:t xml:space="preserve"> for middle-income households (those earning up to 80% of Area Median Income)</w:t>
      </w:r>
      <w:r w:rsidR="00070ED3">
        <w:rPr>
          <w:lang w:val="en-US"/>
        </w:rPr>
        <w:t xml:space="preserve"> </w:t>
      </w:r>
      <w:hyperlink r:id="rId9" w:anchor=":~:text=Developers%20interested%20in%20expanding%20affordable,of%20the%20Area%20Median%20Income" w:tgtFrame="_blank" w:history="1">
        <w:r w:rsidRPr="00521524">
          <w:rPr>
            <w:rStyle w:val="Hyperlink"/>
            <w:lang w:val="en-US"/>
          </w:rPr>
          <w:t>virginiabeach.gov</w:t>
        </w:r>
      </w:hyperlink>
      <w:r w:rsidRPr="00521524">
        <w:rPr>
          <w:lang w:val="en-US"/>
        </w:rPr>
        <w:t xml:space="preserve">. Under the program, </w:t>
      </w:r>
      <w:r w:rsidRPr="00521524">
        <w:rPr>
          <w:b/>
          <w:bCs/>
          <w:lang w:val="en-US"/>
        </w:rPr>
        <w:t xml:space="preserve">developers receive annual grants based on a percentage of the </w:t>
      </w:r>
      <w:r w:rsidRPr="00521524">
        <w:rPr>
          <w:b/>
          <w:bCs/>
          <w:i/>
          <w:iCs/>
          <w:lang w:val="en-US"/>
        </w:rPr>
        <w:t>incremental</w:t>
      </w:r>
      <w:r w:rsidRPr="00521524">
        <w:rPr>
          <w:b/>
          <w:bCs/>
          <w:lang w:val="en-US"/>
        </w:rPr>
        <w:t xml:space="preserve"> real estate taxes generated by their new housing development</w:t>
      </w:r>
      <w:r w:rsidR="00070ED3">
        <w:rPr>
          <w:b/>
          <w:bCs/>
          <w:lang w:val="en-US"/>
        </w:rPr>
        <w:t xml:space="preserve"> </w:t>
      </w:r>
      <w:hyperlink r:id="rId10" w:anchor=":~:text=Through%20the%20program%2C%20annual%20grants,helping%20to%20fill%20funding%20gaps" w:tgtFrame="_blank" w:history="1">
        <w:r w:rsidRPr="00521524">
          <w:rPr>
            <w:rStyle w:val="Hyperlink"/>
            <w:lang w:val="en-US"/>
          </w:rPr>
          <w:t>virginiabeach.gov</w:t>
        </w:r>
      </w:hyperlink>
      <w:r w:rsidRPr="00521524">
        <w:rPr>
          <w:lang w:val="en-US"/>
        </w:rPr>
        <w:t xml:space="preserve">. The “incremental” portion means the difference in property tax revenue </w:t>
      </w:r>
      <w:r w:rsidRPr="00521524">
        <w:rPr>
          <w:b/>
          <w:bCs/>
          <w:lang w:val="en-US"/>
        </w:rPr>
        <w:t>before vs. after</w:t>
      </w:r>
      <w:r w:rsidRPr="00521524">
        <w:rPr>
          <w:lang w:val="en-US"/>
        </w:rPr>
        <w:t xml:space="preserve"> the project is built – essentially allowing the project to </w:t>
      </w:r>
      <w:r w:rsidRPr="00521524">
        <w:rPr>
          <w:i/>
          <w:iCs/>
          <w:lang w:val="en-US"/>
        </w:rPr>
        <w:t>generate</w:t>
      </w:r>
      <w:r w:rsidRPr="00521524">
        <w:rPr>
          <w:lang w:val="en-US"/>
        </w:rPr>
        <w:t xml:space="preserve"> its own incentive. Grants are provided for an initial 15-year period (with potential extension to 30 years)</w:t>
      </w:r>
      <w:r w:rsidR="00070ED3">
        <w:rPr>
          <w:lang w:val="en-US"/>
        </w:rPr>
        <w:t xml:space="preserve"> </w:t>
      </w:r>
      <w:hyperlink r:id="rId11" w:anchor=":~:text=Through%20the%20program%2C%20annual%20grants,helping%20to%20fill%20funding%20gaps" w:tgtFrame="_blank" w:history="1">
        <w:r w:rsidRPr="00521524">
          <w:rPr>
            <w:rStyle w:val="Hyperlink"/>
            <w:lang w:val="en-US"/>
          </w:rPr>
          <w:t>virginiabeach.gov</w:t>
        </w:r>
      </w:hyperlink>
      <w:r w:rsidRPr="00521524">
        <w:rPr>
          <w:lang w:val="en-US"/>
        </w:rPr>
        <w:t xml:space="preserve">. This mechanism is intended to fill financing gaps and </w:t>
      </w:r>
      <w:r w:rsidRPr="00521524">
        <w:rPr>
          <w:b/>
          <w:bCs/>
          <w:lang w:val="en-US"/>
        </w:rPr>
        <w:t>make affordable housing projects financially viable without tapping the City’s existing funds</w:t>
      </w:r>
      <w:r w:rsidR="00070ED3">
        <w:rPr>
          <w:b/>
          <w:bCs/>
          <w:lang w:val="en-US"/>
        </w:rPr>
        <w:t xml:space="preserve"> </w:t>
      </w:r>
      <w:hyperlink r:id="rId12" w:anchor=":~:text=The%20Attainable%20Workforce%20Housing%20Performance,minimum%20number%20of%20affordable%20units" w:tgtFrame="_blank" w:history="1">
        <w:r w:rsidRPr="00521524">
          <w:rPr>
            <w:rStyle w:val="Hyperlink"/>
            <w:lang w:val="en-US"/>
          </w:rPr>
          <w:t>citizenportal.ai</w:t>
        </w:r>
      </w:hyperlink>
      <w:r w:rsidRPr="00521524">
        <w:rPr>
          <w:lang w:val="en-US"/>
        </w:rPr>
        <w:t xml:space="preserve">. In other words, the </w:t>
      </w:r>
      <w:r w:rsidRPr="00521524">
        <w:rPr>
          <w:b/>
          <w:bCs/>
          <w:lang w:val="en-US"/>
        </w:rPr>
        <w:t>new development’s future tax contributions fund its own subsidy</w:t>
      </w:r>
      <w:r w:rsidRPr="00521524">
        <w:rPr>
          <w:lang w:val="en-US"/>
        </w:rPr>
        <w:t>, rather than an upfront expenditure of current tax dollars.</w:t>
      </w:r>
    </w:p>
    <w:p w14:paraId="66585D8A" w14:textId="5A29D7BA" w:rsidR="00EE40BE" w:rsidRPr="00521524" w:rsidRDefault="00EE40BE" w:rsidP="00EE40BE">
      <w:pPr>
        <w:rPr>
          <w:lang w:val="en-US"/>
        </w:rPr>
      </w:pPr>
      <w:r w:rsidRPr="00521524">
        <w:rPr>
          <w:b/>
          <w:bCs/>
          <w:lang w:val="en-US"/>
        </w:rPr>
        <w:t>Modeled after Richmond’s Success:</w:t>
      </w:r>
      <w:r w:rsidRPr="00521524">
        <w:rPr>
          <w:lang w:val="en-US"/>
        </w:rPr>
        <w:t xml:space="preserve"> City Council approved AWHP in April 2025, closely modeling it on a </w:t>
      </w:r>
      <w:r w:rsidRPr="00521524">
        <w:rPr>
          <w:b/>
          <w:bCs/>
          <w:lang w:val="en-US"/>
        </w:rPr>
        <w:t>successful Richmond program</w:t>
      </w:r>
      <w:r w:rsidRPr="00521524">
        <w:rPr>
          <w:lang w:val="en-US"/>
        </w:rPr>
        <w:t xml:space="preserve"> that refunds developers for creating affordable units</w:t>
      </w:r>
      <w:r w:rsidR="00070ED3">
        <w:rPr>
          <w:lang w:val="en-US"/>
        </w:rPr>
        <w:t xml:space="preserve"> </w:t>
      </w:r>
      <w:hyperlink r:id="rId13" w:anchor=":~:text=The%20result%20was%20the%20Affordable,and%20invest%20in%20their%20upkeep" w:tgtFrame="_blank" w:history="1">
        <w:r w:rsidRPr="00521524">
          <w:rPr>
            <w:rStyle w:val="Hyperlink"/>
            <w:lang w:val="en-US"/>
          </w:rPr>
          <w:t>richmonder.org</w:t>
        </w:r>
      </w:hyperlink>
      <w:r w:rsidRPr="00521524">
        <w:rPr>
          <w:lang w:val="en-US"/>
        </w:rPr>
        <w:t xml:space="preserve">. Richmond’s initiative has already facilitated </w:t>
      </w:r>
      <w:r w:rsidRPr="00521524">
        <w:rPr>
          <w:b/>
          <w:bCs/>
          <w:lang w:val="en-US"/>
        </w:rPr>
        <w:t>25 projects with over 3,200 affordable units</w:t>
      </w:r>
      <w:r w:rsidRPr="00521524">
        <w:rPr>
          <w:lang w:val="en-US"/>
        </w:rPr>
        <w:t xml:space="preserve"> in its first two years</w:t>
      </w:r>
      <w:r w:rsidR="00070ED3">
        <w:rPr>
          <w:lang w:val="en-US"/>
        </w:rPr>
        <w:t xml:space="preserve"> </w:t>
      </w:r>
      <w:hyperlink r:id="rId14" w:anchor=":~:text=Since%20then%2C%20Richmond%20has%20signed,Performance%20Grant%20program%20on%20Richmond%E2%80%99s" w:tgtFrame="_blank" w:history="1">
        <w:r w:rsidRPr="00521524">
          <w:rPr>
            <w:rStyle w:val="Hyperlink"/>
            <w:lang w:val="en-US"/>
          </w:rPr>
          <w:t>richmonder.org</w:t>
        </w:r>
      </w:hyperlink>
      <w:r w:rsidRPr="00521524">
        <w:rPr>
          <w:lang w:val="en-US"/>
        </w:rPr>
        <w:t>. Virginia Beach officials were impressed by those results and hoped to replicate a similar boost in local affordable housing construction</w:t>
      </w:r>
      <w:r w:rsidR="00070ED3">
        <w:rPr>
          <w:lang w:val="en-US"/>
        </w:rPr>
        <w:t xml:space="preserve"> </w:t>
      </w:r>
      <w:hyperlink r:id="rId15" w:anchor=":~:text=Since%20then%2C%20Richmond%20has%20signed,Performance%20Grant%20program%20on%20Richmond%E2%80%99s" w:tgtFrame="_blank" w:history="1">
        <w:r w:rsidRPr="00521524">
          <w:rPr>
            <w:rStyle w:val="Hyperlink"/>
            <w:lang w:val="en-US"/>
          </w:rPr>
          <w:t>richmonder.org</w:t>
        </w:r>
      </w:hyperlink>
      <w:r w:rsidRPr="00521524">
        <w:rPr>
          <w:lang w:val="en-US"/>
        </w:rPr>
        <w:t xml:space="preserve">. Developers have described Richmond’s grant as a </w:t>
      </w:r>
      <w:r w:rsidRPr="00521524">
        <w:rPr>
          <w:i/>
          <w:iCs/>
          <w:lang w:val="en-US"/>
        </w:rPr>
        <w:t>“game changer”</w:t>
      </w:r>
      <w:r w:rsidRPr="00521524">
        <w:rPr>
          <w:lang w:val="en-US"/>
        </w:rPr>
        <w:t xml:space="preserve"> that makes projects feasible where they otherwise wouldn’t be</w:t>
      </w:r>
      <w:r w:rsidR="00070ED3">
        <w:rPr>
          <w:lang w:val="en-US"/>
        </w:rPr>
        <w:t xml:space="preserve"> </w:t>
      </w:r>
      <w:hyperlink r:id="rId16" w:anchor=":~:text=Developers%20have%20described%20the%20program,finances%20of%20a%20project%20work" w:tgtFrame="_blank" w:history="1">
        <w:r w:rsidRPr="00521524">
          <w:rPr>
            <w:rStyle w:val="Hyperlink"/>
            <w:lang w:val="en-US"/>
          </w:rPr>
          <w:t>richmonder.org</w:t>
        </w:r>
      </w:hyperlink>
      <w:r w:rsidRPr="00521524">
        <w:rPr>
          <w:lang w:val="en-US"/>
        </w:rPr>
        <w:t xml:space="preserve">. The AWHP aims to deliver the same catalyst effect here, by </w:t>
      </w:r>
      <w:r w:rsidRPr="00521524">
        <w:rPr>
          <w:b/>
          <w:bCs/>
          <w:lang w:val="en-US"/>
        </w:rPr>
        <w:t>offsetting a developer’s increased tax costs</w:t>
      </w:r>
      <w:r w:rsidRPr="00521524">
        <w:rPr>
          <w:lang w:val="en-US"/>
        </w:rPr>
        <w:t xml:space="preserve"> so that more projects targeting teachers, first responders, hospitality workers and other local workforce members can move forward.</w:t>
      </w:r>
    </w:p>
    <w:p w14:paraId="67095E9C" w14:textId="77777777" w:rsidR="00EE40BE" w:rsidRPr="00521524" w:rsidRDefault="00EE40BE" w:rsidP="00EE40BE">
      <w:pPr>
        <w:rPr>
          <w:b/>
          <w:bCs/>
          <w:lang w:val="en-US"/>
        </w:rPr>
      </w:pPr>
      <w:r w:rsidRPr="00521524">
        <w:rPr>
          <w:b/>
          <w:bCs/>
          <w:lang w:val="en-US"/>
        </w:rPr>
        <w:t>Housing Needs and Expected Benefits</w:t>
      </w:r>
    </w:p>
    <w:p w14:paraId="6D7F7198" w14:textId="5F057291" w:rsidR="00EE40BE" w:rsidRPr="00521524" w:rsidRDefault="00EE40BE" w:rsidP="00EE40BE">
      <w:pPr>
        <w:rPr>
          <w:lang w:val="en-US"/>
        </w:rPr>
      </w:pPr>
      <w:r w:rsidRPr="00521524">
        <w:rPr>
          <w:lang w:val="en-US"/>
        </w:rPr>
        <w:t xml:space="preserve">Local housing studies underline why Virginia Beach pursued this incentive. Approximately </w:t>
      </w:r>
      <w:r w:rsidRPr="00521524">
        <w:rPr>
          <w:b/>
          <w:bCs/>
          <w:lang w:val="en-US"/>
        </w:rPr>
        <w:t>one-third of Virginia Beach households are cost-burdened</w:t>
      </w:r>
      <w:r w:rsidRPr="00521524">
        <w:rPr>
          <w:lang w:val="en-US"/>
        </w:rPr>
        <w:t>, spending more than 30% of their income on housing</w:t>
      </w:r>
      <w:r w:rsidR="00070ED3">
        <w:rPr>
          <w:lang w:val="en-US"/>
        </w:rPr>
        <w:t xml:space="preserve"> </w:t>
      </w:r>
      <w:hyperlink r:id="rId17" w:anchor=":~:text=The%20grant%20proposal%20comes%20in,sectors%20like%20retail%20and%20hospitality" w:tgtFrame="_blank" w:history="1">
        <w:r w:rsidRPr="00521524">
          <w:rPr>
            <w:rStyle w:val="Hyperlink"/>
            <w:lang w:val="en-US"/>
          </w:rPr>
          <w:t>citizenportal.ai</w:t>
        </w:r>
      </w:hyperlink>
      <w:r w:rsidRPr="00521524">
        <w:rPr>
          <w:lang w:val="en-US"/>
        </w:rPr>
        <w:t xml:space="preserve">. The squeeze is especially dire for low-to-moderate income renters, many of whom struggle to find affordable units in the city. By encouraging new affordable rentals, AWHP is intended to </w:t>
      </w:r>
      <w:r w:rsidRPr="00521524">
        <w:rPr>
          <w:b/>
          <w:bCs/>
          <w:lang w:val="en-US"/>
        </w:rPr>
        <w:t xml:space="preserve">expand the housing options for residents who earn too much to qualify for traditional low-income </w:t>
      </w:r>
      <w:r w:rsidR="00716B42" w:rsidRPr="00521524">
        <w:rPr>
          <w:b/>
          <w:bCs/>
          <w:lang w:val="en-US"/>
        </w:rPr>
        <w:t>housing but</w:t>
      </w:r>
      <w:r w:rsidRPr="00521524">
        <w:rPr>
          <w:b/>
          <w:bCs/>
          <w:lang w:val="en-US"/>
        </w:rPr>
        <w:t xml:space="preserve"> still can’t comfortably afford market rents</w:t>
      </w:r>
      <w:r w:rsidRPr="00521524">
        <w:rPr>
          <w:lang w:val="en-US"/>
        </w:rPr>
        <w:t>. These include mid-career professionals, young families, and essential workers vital to the city’s economy.</w:t>
      </w:r>
    </w:p>
    <w:p w14:paraId="4D35B5C6" w14:textId="77777777" w:rsidR="00EE40BE" w:rsidRPr="00521524" w:rsidRDefault="00EE40BE" w:rsidP="00EE40BE">
      <w:pPr>
        <w:rPr>
          <w:lang w:val="en-US"/>
        </w:rPr>
      </w:pPr>
      <w:r w:rsidRPr="00521524">
        <w:rPr>
          <w:b/>
          <w:bCs/>
          <w:lang w:val="en-US"/>
        </w:rPr>
        <w:t>Key expected benefits of AWHP include:</w:t>
      </w:r>
    </w:p>
    <w:p w14:paraId="208B59F4" w14:textId="77777777" w:rsidR="00EE40BE" w:rsidRPr="00521524" w:rsidRDefault="00EE40BE" w:rsidP="00EE40BE">
      <w:pPr>
        <w:numPr>
          <w:ilvl w:val="0"/>
          <w:numId w:val="27"/>
        </w:numPr>
        <w:rPr>
          <w:lang w:val="en-US"/>
        </w:rPr>
      </w:pPr>
      <w:r w:rsidRPr="00521524">
        <w:rPr>
          <w:b/>
          <w:bCs/>
          <w:lang w:val="en-US"/>
        </w:rPr>
        <w:t>Increased Affordable Housing Supply:</w:t>
      </w:r>
      <w:r w:rsidRPr="00521524">
        <w:rPr>
          <w:lang w:val="en-US"/>
        </w:rPr>
        <w:t xml:space="preserve"> By bridging financial gaps, the grant should stimulate </w:t>
      </w:r>
      <w:r w:rsidRPr="00521524">
        <w:rPr>
          <w:i/>
          <w:iCs/>
          <w:lang w:val="en-US"/>
        </w:rPr>
        <w:t>continuous development</w:t>
      </w:r>
      <w:r w:rsidRPr="00521524">
        <w:rPr>
          <w:lang w:val="en-US"/>
        </w:rPr>
        <w:t xml:space="preserve"> of below-market-rate apartments. This helps address the documented </w:t>
      </w:r>
      <w:r w:rsidRPr="00521524">
        <w:rPr>
          <w:lang w:val="en-US"/>
        </w:rPr>
        <w:lastRenderedPageBreak/>
        <w:t>shortfall of affordable units for the local workforce. City officials project that, over time, AWHP-assisted projects will significantly add to the stock of attainable housing, easing pressure on rents and reducing the number of cost-burdened families.</w:t>
      </w:r>
    </w:p>
    <w:p w14:paraId="1D06A422" w14:textId="4C29454C" w:rsidR="00EE40BE" w:rsidRPr="00521524" w:rsidRDefault="00EE40BE" w:rsidP="00EE40BE">
      <w:pPr>
        <w:numPr>
          <w:ilvl w:val="0"/>
          <w:numId w:val="27"/>
        </w:numPr>
        <w:rPr>
          <w:lang w:val="en-US"/>
        </w:rPr>
      </w:pPr>
      <w:r w:rsidRPr="00521524">
        <w:rPr>
          <w:b/>
          <w:bCs/>
          <w:lang w:val="en-US"/>
        </w:rPr>
        <w:t>No Immediate Impact on Existing Budget:</w:t>
      </w:r>
      <w:r w:rsidRPr="00521524">
        <w:rPr>
          <w:lang w:val="en-US"/>
        </w:rPr>
        <w:t xml:space="preserve"> Because the grants are </w:t>
      </w:r>
      <w:r w:rsidRPr="00521524">
        <w:rPr>
          <w:b/>
          <w:bCs/>
          <w:lang w:val="en-US"/>
        </w:rPr>
        <w:t>funded by the new tax revenue generated by each project itself</w:t>
      </w:r>
      <w:r w:rsidRPr="00521524">
        <w:rPr>
          <w:lang w:val="en-US"/>
        </w:rPr>
        <w:t xml:space="preserve">, proponents argue the program does </w:t>
      </w:r>
      <w:r w:rsidRPr="00521524">
        <w:rPr>
          <w:i/>
          <w:iCs/>
          <w:lang w:val="en-US"/>
        </w:rPr>
        <w:t>not</w:t>
      </w:r>
      <w:r w:rsidRPr="00521524">
        <w:rPr>
          <w:lang w:val="en-US"/>
        </w:rPr>
        <w:t xml:space="preserve"> divert money from current city services</w:t>
      </w:r>
      <w:r w:rsidR="00070ED3">
        <w:rPr>
          <w:lang w:val="en-US"/>
        </w:rPr>
        <w:t xml:space="preserve"> </w:t>
      </w:r>
      <w:hyperlink r:id="rId18" w:anchor=":~:text=The%20Attainable%20Workforce%20Housing%20Performance,minimum%20number%20of%20affordable%20units" w:tgtFrame="_blank" w:history="1">
        <w:r w:rsidRPr="00521524">
          <w:rPr>
            <w:rStyle w:val="Hyperlink"/>
            <w:lang w:val="en-US"/>
          </w:rPr>
          <w:t>citizenportal.ai</w:t>
        </w:r>
      </w:hyperlink>
      <w:r w:rsidRPr="00521524">
        <w:rPr>
          <w:lang w:val="en-US"/>
        </w:rPr>
        <w:t xml:space="preserve">. The logic is that </w:t>
      </w:r>
      <w:r w:rsidRPr="00521524">
        <w:rPr>
          <w:b/>
          <w:bCs/>
          <w:lang w:val="en-US"/>
        </w:rPr>
        <w:t>if the development didn’t happen, those incremental taxes wouldn’t exist</w:t>
      </w:r>
      <w:r w:rsidRPr="00521524">
        <w:rPr>
          <w:lang w:val="en-US"/>
        </w:rPr>
        <w:t xml:space="preserve"> – so by rebating the increase, the City isn’t losing pre-existing </w:t>
      </w:r>
      <w:r w:rsidR="00716B42" w:rsidRPr="00521524">
        <w:rPr>
          <w:lang w:val="en-US"/>
        </w:rPr>
        <w:t>revenue but</w:t>
      </w:r>
      <w:r w:rsidRPr="00521524">
        <w:rPr>
          <w:lang w:val="en-US"/>
        </w:rPr>
        <w:t xml:space="preserve"> rather forgoing a portion of </w:t>
      </w:r>
      <w:r w:rsidRPr="00521524">
        <w:rPr>
          <w:i/>
          <w:iCs/>
          <w:lang w:val="en-US"/>
        </w:rPr>
        <w:t>future</w:t>
      </w:r>
      <w:r w:rsidRPr="00521524">
        <w:rPr>
          <w:lang w:val="en-US"/>
        </w:rPr>
        <w:t xml:space="preserve"> revenue. This framing presents AWHP as a self-financed incentive: it leverages private investment to produce a public good (affordable housing) without an upfront taxpayer outlay.</w:t>
      </w:r>
    </w:p>
    <w:p w14:paraId="22D37290" w14:textId="77777777" w:rsidR="00EE40BE" w:rsidRPr="00521524" w:rsidRDefault="00EE40BE" w:rsidP="00EE40BE">
      <w:pPr>
        <w:numPr>
          <w:ilvl w:val="0"/>
          <w:numId w:val="27"/>
        </w:numPr>
        <w:rPr>
          <w:lang w:val="en-US"/>
        </w:rPr>
      </w:pPr>
      <w:r w:rsidRPr="00521524">
        <w:rPr>
          <w:b/>
          <w:bCs/>
          <w:lang w:val="en-US"/>
        </w:rPr>
        <w:t>Economic and Community Development:</w:t>
      </w:r>
      <w:r w:rsidRPr="00521524">
        <w:rPr>
          <w:lang w:val="en-US"/>
        </w:rPr>
        <w:t xml:space="preserve"> New housing construction spurs </w:t>
      </w:r>
      <w:r w:rsidRPr="00521524">
        <w:rPr>
          <w:b/>
          <w:bCs/>
          <w:lang w:val="en-US"/>
        </w:rPr>
        <w:t>job creation</w:t>
      </w:r>
      <w:r w:rsidRPr="00521524">
        <w:rPr>
          <w:lang w:val="en-US"/>
        </w:rPr>
        <w:t xml:space="preserve"> (in construction and property management) and can revitalized underused parcels. Over the long term (after the grant period ends), the city can begin receiving the full property tax from these improved properties, adding to the tax base. Furthermore, by enabling more workers to live in the city affordably, AWHP supports local businesses and reduces commuter congestion. The community benefits from having teachers, nurses, police officers and service industry workers able to reside locally, strengthening ties to the neighborhoods they serve.</w:t>
      </w:r>
    </w:p>
    <w:p w14:paraId="24DEB95C" w14:textId="706C4489" w:rsidR="00EE40BE" w:rsidRPr="00521524" w:rsidRDefault="00EE40BE" w:rsidP="00EE40BE">
      <w:pPr>
        <w:rPr>
          <w:lang w:val="en-US"/>
        </w:rPr>
      </w:pPr>
      <w:r w:rsidRPr="00521524">
        <w:rPr>
          <w:b/>
          <w:bCs/>
          <w:lang w:val="en-US"/>
        </w:rPr>
        <w:t>Public Support and Initial Uptake:</w:t>
      </w:r>
      <w:r w:rsidRPr="00521524">
        <w:rPr>
          <w:lang w:val="en-US"/>
        </w:rPr>
        <w:t xml:space="preserve"> The program has drawn interest from developers since applications opened in September 2025</w:t>
      </w:r>
      <w:r w:rsidR="00070ED3">
        <w:rPr>
          <w:lang w:val="en-US"/>
        </w:rPr>
        <w:t xml:space="preserve"> </w:t>
      </w:r>
      <w:hyperlink r:id="rId19" w:anchor=":~:text=City%20Launches%20New%20Program%20to,Development%20of%20Affordable%20Rental%20Housing" w:tgtFrame="_blank" w:history="1">
        <w:r w:rsidRPr="00521524">
          <w:rPr>
            <w:rStyle w:val="Hyperlink"/>
            <w:lang w:val="en-US"/>
          </w:rPr>
          <w:t>virginiabeach.gov</w:t>
        </w:r>
      </w:hyperlink>
      <w:r w:rsidRPr="00521524">
        <w:rPr>
          <w:lang w:val="en-US"/>
        </w:rPr>
        <w:t>. Several projects are expected to apply, and the City Council will review each for approval, ensuring they meet affordability criteria (such as rent limits and a minimum share of units reserved for workforce households). Early public commentary on AWHP has been mixed – many civic leaders acknowledge the pressing need for affordable housing and welcome innovative solutions, while others are taking a cautious “wait and see” approach, wanting to ensure the promised community benefits materialize in practice.</w:t>
      </w:r>
    </w:p>
    <w:p w14:paraId="0F79B6FF" w14:textId="77777777" w:rsidR="00EE40BE" w:rsidRPr="00521524" w:rsidRDefault="00EE40BE" w:rsidP="00EE40BE">
      <w:pPr>
        <w:rPr>
          <w:b/>
          <w:bCs/>
          <w:lang w:val="en-US"/>
        </w:rPr>
      </w:pPr>
      <w:r w:rsidRPr="00521524">
        <w:rPr>
          <w:b/>
          <w:bCs/>
          <w:lang w:val="en-US"/>
        </w:rPr>
        <w:t>Taxpayer Equity and Fiscal Trade-offs</w:t>
      </w:r>
    </w:p>
    <w:p w14:paraId="4B6E0D6F" w14:textId="77777777" w:rsidR="00EE40BE" w:rsidRPr="00521524" w:rsidRDefault="00EE40BE" w:rsidP="00EE40BE">
      <w:pPr>
        <w:rPr>
          <w:lang w:val="en-US"/>
        </w:rPr>
      </w:pPr>
      <w:r w:rsidRPr="00521524">
        <w:rPr>
          <w:lang w:val="en-US"/>
        </w:rPr>
        <w:t xml:space="preserve">From a </w:t>
      </w:r>
      <w:r w:rsidRPr="00521524">
        <w:rPr>
          <w:b/>
          <w:bCs/>
          <w:lang w:val="en-US"/>
        </w:rPr>
        <w:t>civic taxpayer standpoint</w:t>
      </w:r>
      <w:r w:rsidRPr="00521524">
        <w:rPr>
          <w:lang w:val="en-US"/>
        </w:rPr>
        <w:t xml:space="preserve">, AWHP raises important questions about </w:t>
      </w:r>
      <w:r w:rsidRPr="00521524">
        <w:rPr>
          <w:b/>
          <w:bCs/>
          <w:lang w:val="en-US"/>
        </w:rPr>
        <w:t>who bears the cost</w:t>
      </w:r>
      <w:r w:rsidRPr="00521524">
        <w:rPr>
          <w:lang w:val="en-US"/>
        </w:rPr>
        <w:t xml:space="preserve"> of this incentive and whether that cost is justified by the public benefits. While the grant is framed as using “new” revenue, it is effectively a </w:t>
      </w:r>
      <w:r w:rsidRPr="00521524">
        <w:rPr>
          <w:b/>
          <w:bCs/>
          <w:lang w:val="en-US"/>
        </w:rPr>
        <w:t>trade-off: the City forgoes a significant portion of potential future real estate tax income in order to subsidize the housing developers.</w:t>
      </w:r>
      <w:r w:rsidRPr="00521524">
        <w:rPr>
          <w:lang w:val="en-US"/>
        </w:rPr>
        <w:t xml:space="preserve"> This trade-off warrants scrutiny because of its impact on the City’s general fund – and by extension, on the taxpayers who contribute heavily to that fund.</w:t>
      </w:r>
    </w:p>
    <w:p w14:paraId="58062906" w14:textId="5DCDE627" w:rsidR="00EE40BE" w:rsidRPr="00521524" w:rsidRDefault="00EE40BE" w:rsidP="00EE40BE">
      <w:pPr>
        <w:rPr>
          <w:lang w:val="en-US"/>
        </w:rPr>
      </w:pPr>
      <w:r w:rsidRPr="00521524">
        <w:rPr>
          <w:b/>
          <w:bCs/>
          <w:lang w:val="en-US"/>
        </w:rPr>
        <w:t>Reliance on Resident Tax Contributions:</w:t>
      </w:r>
      <w:r w:rsidRPr="00521524">
        <w:rPr>
          <w:lang w:val="en-US"/>
        </w:rPr>
        <w:t xml:space="preserve"> Virginia Beach’s general fund (which pays for core services like schools, public safety, roads, and parks) is strongly supported by local taxes and fees. In fact, </w:t>
      </w:r>
      <w:r w:rsidRPr="00521524">
        <w:rPr>
          <w:b/>
          <w:bCs/>
          <w:lang w:val="en-US"/>
        </w:rPr>
        <w:t>real estate property taxes alone make up about 30.1% of the City’s general fund revenue</w:t>
      </w:r>
      <w:r w:rsidR="00070ED3">
        <w:rPr>
          <w:b/>
          <w:bCs/>
          <w:lang w:val="en-US"/>
        </w:rPr>
        <w:t xml:space="preserve"> </w:t>
      </w:r>
      <w:hyperlink r:id="rId20" w:anchor=":~:text=By%20law%2C%20the%20City%20must,police%20protection%2C%20roads%20and%20more" w:tgtFrame="_blank" w:history="1">
        <w:r w:rsidRPr="00521524">
          <w:rPr>
            <w:rStyle w:val="Hyperlink"/>
            <w:lang w:val="en-US"/>
          </w:rPr>
          <w:t>virginiabeach.gov</w:t>
        </w:r>
      </w:hyperlink>
      <w:r w:rsidRPr="00521524">
        <w:rPr>
          <w:lang w:val="en-US"/>
        </w:rPr>
        <w:t xml:space="preserve">, forming the single largest revenue source for operations. Importantly, residents bear the bulk of that tax burden – roughly </w:t>
      </w:r>
      <w:r w:rsidRPr="00521524">
        <w:rPr>
          <w:b/>
          <w:bCs/>
          <w:lang w:val="en-US"/>
        </w:rPr>
        <w:t>75% of the real estate tax base comes from residential homeowners (with businesses paying the rest)</w:t>
      </w:r>
      <w:r w:rsidR="00070ED3">
        <w:rPr>
          <w:b/>
          <w:bCs/>
          <w:lang w:val="en-US"/>
        </w:rPr>
        <w:t xml:space="preserve"> </w:t>
      </w:r>
      <w:hyperlink r:id="rId21" w:anchor=":~:text=money,businesses%20making%20up%20the%20rest" w:tgtFrame="_blank" w:history="1">
        <w:r w:rsidRPr="00521524">
          <w:rPr>
            <w:rStyle w:val="Hyperlink"/>
            <w:b/>
            <w:bCs/>
            <w:lang w:val="en-US"/>
          </w:rPr>
          <w:t>whro.org</w:t>
        </w:r>
      </w:hyperlink>
      <w:r w:rsidRPr="00521524">
        <w:rPr>
          <w:lang w:val="en-US"/>
        </w:rPr>
        <w:t xml:space="preserve">. When you combine real estate taxes with personal property taxes (e.g. the </w:t>
      </w:r>
      <w:r w:rsidRPr="00521524">
        <w:rPr>
          <w:lang w:val="en-US"/>
        </w:rPr>
        <w:lastRenderedPageBreak/>
        <w:t xml:space="preserve">car tax) and various local user fees paid by citizens, </w:t>
      </w:r>
      <w:r w:rsidRPr="00521524">
        <w:rPr>
          <w:b/>
          <w:bCs/>
          <w:lang w:val="en-US"/>
        </w:rPr>
        <w:t>about 42% of the City’s general fund revenues are contributed directly by Virginia Beach residents.</w:t>
      </w:r>
      <w:r w:rsidRPr="00521524">
        <w:rPr>
          <w:lang w:val="en-US"/>
        </w:rPr>
        <w:t xml:space="preserve"> In other words, </w:t>
      </w:r>
      <w:r w:rsidRPr="00521524">
        <w:rPr>
          <w:b/>
          <w:bCs/>
          <w:lang w:val="en-US"/>
        </w:rPr>
        <w:t>nearly half of the funding for city operations comes straight from the pockets of local individuals and families.</w:t>
      </w:r>
    </w:p>
    <w:p w14:paraId="7F60B2E0" w14:textId="77777777" w:rsidR="00EE40BE" w:rsidRDefault="00EE40BE" w:rsidP="00EE40BE">
      <w:pPr>
        <w:rPr>
          <w:lang w:val="en-US"/>
        </w:rPr>
      </w:pPr>
      <w:r w:rsidRPr="00521524">
        <w:rPr>
          <w:b/>
          <w:bCs/>
          <w:lang w:val="en-US"/>
        </w:rPr>
        <w:t>Implications of Foregoing Revenue:</w:t>
      </w:r>
      <w:r w:rsidRPr="00521524">
        <w:rPr>
          <w:lang w:val="en-US"/>
        </w:rPr>
        <w:t xml:space="preserve"> Given this context, any policy that reduces or forgoes revenue has a </w:t>
      </w:r>
      <w:r w:rsidRPr="00521524">
        <w:rPr>
          <w:b/>
          <w:bCs/>
          <w:lang w:val="en-US"/>
        </w:rPr>
        <w:t>direct civic impact on those taxpayers who fund 42% of city operations</w:t>
      </w:r>
      <w:r w:rsidRPr="00521524">
        <w:rPr>
          <w:lang w:val="en-US"/>
        </w:rPr>
        <w:t xml:space="preserve">. Foregone revenue is </w:t>
      </w:r>
      <w:r w:rsidRPr="00521524">
        <w:rPr>
          <w:i/>
          <w:iCs/>
          <w:lang w:val="en-US"/>
        </w:rPr>
        <w:t>not</w:t>
      </w:r>
      <w:r w:rsidRPr="00521524">
        <w:rPr>
          <w:lang w:val="en-US"/>
        </w:rPr>
        <w:t xml:space="preserve"> free: if the City gives up future tax dollars that a new development would have generated, </w:t>
      </w:r>
      <w:r w:rsidRPr="00521524">
        <w:rPr>
          <w:b/>
          <w:bCs/>
          <w:lang w:val="en-US"/>
        </w:rPr>
        <w:t>that money is no longer available to support public services or to potentially offset the tax burden on others</w:t>
      </w:r>
      <w:r w:rsidRPr="00521524">
        <w:rPr>
          <w:lang w:val="en-US"/>
        </w:rPr>
        <w:t xml:space="preserve">. Over a 15- or 30-year span, the cumulative amount rebated through an AWHP grant can reach many millions of dollars that would otherwise help pay for schools, police and fire protection, road maintenance, and other services that </w:t>
      </w:r>
      <w:r w:rsidRPr="00521524">
        <w:rPr>
          <w:b/>
          <w:bCs/>
          <w:lang w:val="en-US"/>
        </w:rPr>
        <w:t>existing residents rely on</w:t>
      </w:r>
      <w:r w:rsidRPr="00521524">
        <w:rPr>
          <w:lang w:val="en-US"/>
        </w:rPr>
        <w:t xml:space="preserve">. Essentially, the City is </w:t>
      </w:r>
      <w:r w:rsidRPr="00521524">
        <w:rPr>
          <w:b/>
          <w:bCs/>
          <w:lang w:val="en-US"/>
        </w:rPr>
        <w:t>subsidizing the developer via tax rebates</w:t>
      </w:r>
      <w:r w:rsidRPr="00521524">
        <w:rPr>
          <w:lang w:val="en-US"/>
        </w:rPr>
        <w:t xml:space="preserve">, and </w:t>
      </w:r>
      <w:r w:rsidRPr="00521524">
        <w:rPr>
          <w:b/>
          <w:bCs/>
          <w:lang w:val="en-US"/>
        </w:rPr>
        <w:t>the subsidy is effectively underwritten by the community</w:t>
      </w:r>
      <w:r w:rsidRPr="00521524">
        <w:rPr>
          <w:lang w:val="en-US"/>
        </w:rPr>
        <w:t>, since any gap in funding public needs must be filled by the general fund (to which residents are major contributors).</w:t>
      </w:r>
    </w:p>
    <w:p w14:paraId="185CEF6F" w14:textId="3E14FE28" w:rsidR="00221F2A" w:rsidRPr="00521524" w:rsidRDefault="00221F2A" w:rsidP="00EE40BE">
      <w:pPr>
        <w:rPr>
          <w:lang w:val="en-US"/>
        </w:rPr>
      </w:pPr>
      <w:r>
        <w:rPr>
          <w:lang w:val="en-US"/>
        </w:rPr>
        <w:t>While the projects that are awarded these grants may not have otherwise been started at this time, there is no evidence that the land would lay fallow and undeveloped for the next 15 to 30 years. The grant program may only be acting as a “kick-starter” for projects that would eventually have been built. The Silos Apartments project is a perfect example of this, as that project was already approved by Council in late 2024 and is now an applicant for this program. The Silos project was going to be built with all private money and now is a potential grantee of AWHP grant money. By allowing this behavior, we are making the tax dollars of the average citizen pay for that project.</w:t>
      </w:r>
    </w:p>
    <w:p w14:paraId="3BBB4A90" w14:textId="3F0355F6" w:rsidR="00EE40BE" w:rsidRPr="00521524" w:rsidRDefault="00EE40BE" w:rsidP="00EE40BE">
      <w:pPr>
        <w:rPr>
          <w:lang w:val="en-US"/>
        </w:rPr>
      </w:pPr>
      <w:r w:rsidRPr="00521524">
        <w:rPr>
          <w:lang w:val="en-US"/>
        </w:rPr>
        <w:t xml:space="preserve">It’s a matter of </w:t>
      </w:r>
      <w:r w:rsidRPr="00521524">
        <w:rPr>
          <w:b/>
          <w:bCs/>
          <w:lang w:val="en-US"/>
        </w:rPr>
        <w:t>taxpayer equity</w:t>
      </w:r>
      <w:r w:rsidRPr="00521524">
        <w:rPr>
          <w:lang w:val="en-US"/>
        </w:rPr>
        <w:t xml:space="preserve">: </w:t>
      </w:r>
      <w:r w:rsidRPr="00521524">
        <w:rPr>
          <w:i/>
          <w:iCs/>
          <w:lang w:val="en-US"/>
        </w:rPr>
        <w:t>Is it fair and prudent to ask current residents to indirectly subsidize private development, even for a socially worthy goal?</w:t>
      </w:r>
      <w:r w:rsidRPr="00521524">
        <w:rPr>
          <w:lang w:val="en-US"/>
        </w:rPr>
        <w:t xml:space="preserve"> Residents and civic observers are weighing whether the </w:t>
      </w:r>
      <w:r w:rsidRPr="00521524">
        <w:rPr>
          <w:b/>
          <w:bCs/>
          <w:lang w:val="en-US"/>
        </w:rPr>
        <w:t>public good of additional affordable housing justifies the opportunity cost of those tax revenues</w:t>
      </w:r>
      <w:r w:rsidRPr="00521524">
        <w:rPr>
          <w:lang w:val="en-US"/>
        </w:rPr>
        <w:t xml:space="preserve">. Skeptics of such incentive programs note that they </w:t>
      </w:r>
      <w:r w:rsidRPr="00521524">
        <w:rPr>
          <w:b/>
          <w:bCs/>
          <w:lang w:val="en-US"/>
        </w:rPr>
        <w:t>can be perceived as a “giveaway” to developers</w:t>
      </w:r>
      <w:r w:rsidRPr="00521524">
        <w:rPr>
          <w:lang w:val="en-US"/>
        </w:rPr>
        <w:t xml:space="preserve"> if not carefully managed. In Richmond’s case (the model for AWHP), </w:t>
      </w:r>
      <w:r w:rsidRPr="00521524">
        <w:rPr>
          <w:b/>
          <w:bCs/>
          <w:lang w:val="en-US"/>
        </w:rPr>
        <w:t>concerns have been raised about how much future revenue the city is forgoing by rebating 15 to 30 years of tax increases, and whether these grants are just windfall profits for developers</w:t>
      </w:r>
      <w:r w:rsidR="00070ED3">
        <w:rPr>
          <w:b/>
          <w:bCs/>
          <w:lang w:val="en-US"/>
        </w:rPr>
        <w:t xml:space="preserve"> </w:t>
      </w:r>
      <w:hyperlink r:id="rId22" w:anchor=":~:text=Still%2C%20skeptics%20have%20raised%20concerns,just%20a%20giveaway%20to%20developers" w:tgtFrame="_blank" w:history="1">
        <w:r w:rsidRPr="00521524">
          <w:rPr>
            <w:rStyle w:val="Hyperlink"/>
            <w:lang w:val="en-US"/>
          </w:rPr>
          <w:t>richmonder.org</w:t>
        </w:r>
      </w:hyperlink>
      <w:r w:rsidRPr="00521524">
        <w:rPr>
          <w:lang w:val="en-US"/>
        </w:rPr>
        <w:t xml:space="preserve">. These are legitimate concerns that Virginia Beach taxpayers share: every dollar rebated is a dollar </w:t>
      </w:r>
      <w:r w:rsidRPr="00521524">
        <w:rPr>
          <w:i/>
          <w:iCs/>
          <w:lang w:val="en-US"/>
        </w:rPr>
        <w:t>not</w:t>
      </w:r>
      <w:r w:rsidRPr="00521524">
        <w:rPr>
          <w:lang w:val="en-US"/>
        </w:rPr>
        <w:t xml:space="preserve"> going into city coffers for the duration of the grant, </w:t>
      </w:r>
      <w:r w:rsidRPr="00935B9F">
        <w:rPr>
          <w:b/>
          <w:bCs/>
          <w:lang w:val="en-US"/>
        </w:rPr>
        <w:t>yet the new development will still put demands on city infrastructure and services.</w:t>
      </w:r>
    </w:p>
    <w:p w14:paraId="1B2854A6" w14:textId="2AF574A9" w:rsidR="00EE40BE" w:rsidRPr="00521524" w:rsidRDefault="00EE40BE" w:rsidP="00EE40BE">
      <w:pPr>
        <w:rPr>
          <w:lang w:val="en-US"/>
        </w:rPr>
      </w:pPr>
      <w:r w:rsidRPr="00521524">
        <w:rPr>
          <w:b/>
          <w:bCs/>
          <w:lang w:val="en-US"/>
        </w:rPr>
        <w:t>Impact on Public Services:</w:t>
      </w:r>
      <w:r w:rsidRPr="00521524">
        <w:rPr>
          <w:lang w:val="en-US"/>
        </w:rPr>
        <w:t xml:space="preserve"> One immediate worry is how </w:t>
      </w:r>
      <w:r w:rsidRPr="00521524">
        <w:rPr>
          <w:b/>
          <w:bCs/>
          <w:lang w:val="en-US"/>
        </w:rPr>
        <w:t>public services will accommodate the residents of AWHP-supported housing</w:t>
      </w:r>
      <w:r w:rsidRPr="00521524">
        <w:rPr>
          <w:lang w:val="en-US"/>
        </w:rPr>
        <w:t xml:space="preserve">. New housing brings new population – children who may enroll in public schools, households that use public utilities, drive on city streets, call on police/fire services, etc. Typically, </w:t>
      </w:r>
      <w:r w:rsidRPr="00521524">
        <w:rPr>
          <w:b/>
          <w:bCs/>
          <w:lang w:val="en-US"/>
        </w:rPr>
        <w:t>the increased property tax from development helps fund the expansion of services to meet this growth</w:t>
      </w:r>
      <w:r w:rsidRPr="00521524">
        <w:rPr>
          <w:lang w:val="en-US"/>
        </w:rPr>
        <w:t xml:space="preserve">. With AWHP, however, much of that incremental tax is returned to the developer as an incentive, </w:t>
      </w:r>
      <w:r w:rsidRPr="00521524">
        <w:rPr>
          <w:i/>
          <w:iCs/>
          <w:lang w:val="en-US"/>
        </w:rPr>
        <w:t>not</w:t>
      </w:r>
      <w:r w:rsidRPr="00521524">
        <w:rPr>
          <w:lang w:val="en-US"/>
        </w:rPr>
        <w:t xml:space="preserve"> kept by the City. </w:t>
      </w:r>
      <w:r w:rsidRPr="00521524">
        <w:rPr>
          <w:b/>
          <w:bCs/>
          <w:lang w:val="en-US"/>
        </w:rPr>
        <w:t>Existing taxpayers could end up effectively footing the bill to serve the new development’s residents</w:t>
      </w:r>
      <w:r w:rsidRPr="00521524">
        <w:rPr>
          <w:lang w:val="en-US"/>
        </w:rPr>
        <w:t>, at least for the grant period</w:t>
      </w:r>
      <w:r w:rsidR="00221F2A">
        <w:rPr>
          <w:lang w:val="en-US"/>
        </w:rPr>
        <w:t xml:space="preserve"> of 15 – 30 years</w:t>
      </w:r>
      <w:r w:rsidRPr="00521524">
        <w:rPr>
          <w:lang w:val="en-US"/>
        </w:rPr>
        <w:t xml:space="preserve">. Members of the VBDA and City Council have explicitly highlighted this issue: during AWHP’s discussion, officials stressed the importance of evaluating </w:t>
      </w:r>
      <w:r w:rsidRPr="00521524">
        <w:rPr>
          <w:b/>
          <w:bCs/>
          <w:lang w:val="en-US"/>
        </w:rPr>
        <w:t>impacts on schools and infrastructure</w:t>
      </w:r>
      <w:r w:rsidRPr="00521524">
        <w:rPr>
          <w:lang w:val="en-US"/>
        </w:rPr>
        <w:t xml:space="preserve"> and ensuring new projects are planned </w:t>
      </w:r>
      <w:r w:rsidRPr="00521524">
        <w:rPr>
          <w:lang w:val="en-US"/>
        </w:rPr>
        <w:lastRenderedPageBreak/>
        <w:t>with community needs in mind</w:t>
      </w:r>
      <w:r w:rsidR="00070ED3">
        <w:rPr>
          <w:lang w:val="en-US"/>
        </w:rPr>
        <w:t xml:space="preserve"> </w:t>
      </w:r>
      <w:hyperlink r:id="rId23" w:anchor=":~:text=During%20the%20meeting%2C%20members%20of,broader%20implications%20for%20the%20community" w:tgtFrame="_blank" w:history="1">
        <w:r w:rsidRPr="00521524">
          <w:rPr>
            <w:rStyle w:val="Hyperlink"/>
            <w:lang w:val="en-US"/>
          </w:rPr>
          <w:t>citizenportal.ai</w:t>
        </w:r>
      </w:hyperlink>
      <w:r w:rsidRPr="00521524">
        <w:rPr>
          <w:lang w:val="en-US"/>
        </w:rPr>
        <w:t xml:space="preserve">. This suggests a recognition that </w:t>
      </w:r>
      <w:r w:rsidRPr="00521524">
        <w:rPr>
          <w:b/>
          <w:bCs/>
          <w:lang w:val="en-US"/>
        </w:rPr>
        <w:t>the costs of growth must be accounted for, even if the new development’s tax revenue is being partially diverted away from the general fund</w:t>
      </w:r>
      <w:r w:rsidRPr="00521524">
        <w:rPr>
          <w:lang w:val="en-US"/>
        </w:rPr>
        <w:t>.</w:t>
      </w:r>
    </w:p>
    <w:p w14:paraId="75443214" w14:textId="77777777" w:rsidR="00EE40BE" w:rsidRPr="00521524" w:rsidRDefault="00EE40BE" w:rsidP="00EE40BE">
      <w:pPr>
        <w:rPr>
          <w:lang w:val="en-US"/>
        </w:rPr>
      </w:pPr>
      <w:r w:rsidRPr="00521524">
        <w:rPr>
          <w:lang w:val="en-US"/>
        </w:rPr>
        <w:t xml:space="preserve">In summary, from a civic perspective, </w:t>
      </w:r>
      <w:r w:rsidRPr="00521524">
        <w:rPr>
          <w:b/>
          <w:bCs/>
          <w:lang w:val="en-US"/>
        </w:rPr>
        <w:t>the AWHP creates a careful balance between encouraging a public good and upholding fiscal fairness to taxpayers</w:t>
      </w:r>
      <w:r w:rsidRPr="00521524">
        <w:rPr>
          <w:lang w:val="en-US"/>
        </w:rPr>
        <w:t xml:space="preserve">. The </w:t>
      </w:r>
      <w:r w:rsidRPr="00521524">
        <w:rPr>
          <w:b/>
          <w:bCs/>
          <w:lang w:val="en-US"/>
        </w:rPr>
        <w:t>42% of general fund revenue provided by residents</w:t>
      </w:r>
      <w:r w:rsidRPr="00521524">
        <w:rPr>
          <w:lang w:val="en-US"/>
        </w:rPr>
        <w:t xml:space="preserve"> is essentially the pool of money that keeps the city running. If too much future revenue is promised away in incentives, there is a risk that </w:t>
      </w:r>
      <w:r w:rsidRPr="00521524">
        <w:rPr>
          <w:b/>
          <w:bCs/>
          <w:lang w:val="en-US"/>
        </w:rPr>
        <w:t>either services suffer or taxpayers must pay more to compensate</w:t>
      </w:r>
      <w:r w:rsidRPr="00521524">
        <w:rPr>
          <w:lang w:val="en-US"/>
        </w:rPr>
        <w:t xml:space="preserve">. Civic leaders in the Virginia Beach Council of Civic Organizations (VBCCO) and other community forums are therefore scrutinizing AWHP through the lens of equity: </w:t>
      </w:r>
      <w:r w:rsidRPr="00521524">
        <w:rPr>
          <w:i/>
          <w:iCs/>
          <w:lang w:val="en-US"/>
        </w:rPr>
        <w:t>Are we asking residents to carry a heavier load (through foregoing revenue that could have reduced future tax pressure or improved services) in order to finance this program?</w:t>
      </w:r>
      <w:r w:rsidRPr="00521524">
        <w:rPr>
          <w:lang w:val="en-US"/>
        </w:rPr>
        <w:t xml:space="preserve"> The </w:t>
      </w:r>
      <w:r w:rsidRPr="00521524">
        <w:rPr>
          <w:b/>
          <w:bCs/>
          <w:lang w:val="en-US"/>
        </w:rPr>
        <w:t>trade-off</w:t>
      </w:r>
      <w:r w:rsidRPr="00521524">
        <w:rPr>
          <w:lang w:val="en-US"/>
        </w:rPr>
        <w:t xml:space="preserve"> is clearly defined – </w:t>
      </w:r>
      <w:r w:rsidRPr="00521524">
        <w:rPr>
          <w:b/>
          <w:bCs/>
          <w:lang w:val="en-US"/>
        </w:rPr>
        <w:t>more affordable housing units in exchange for less new tax revenue</w:t>
      </w:r>
      <w:r w:rsidRPr="00521524">
        <w:rPr>
          <w:lang w:val="en-US"/>
        </w:rPr>
        <w:t xml:space="preserve"> – and the community must decide if that bargain serves the </w:t>
      </w:r>
      <w:r w:rsidRPr="00521524">
        <w:rPr>
          <w:b/>
          <w:bCs/>
          <w:lang w:val="en-US"/>
        </w:rPr>
        <w:t>public interest broadly, not just the interests of those directly benefiting (developers and new tenants).</w:t>
      </w:r>
    </w:p>
    <w:p w14:paraId="544217EF" w14:textId="77777777" w:rsidR="00EE40BE" w:rsidRPr="00521524" w:rsidRDefault="00EE40BE" w:rsidP="00EE40BE">
      <w:pPr>
        <w:rPr>
          <w:b/>
          <w:bCs/>
          <w:lang w:val="en-US"/>
        </w:rPr>
      </w:pPr>
      <w:r w:rsidRPr="00521524">
        <w:rPr>
          <w:b/>
          <w:bCs/>
          <w:lang w:val="en-US"/>
        </w:rPr>
        <w:t>Fiscal Responsibility and Oversight</w:t>
      </w:r>
    </w:p>
    <w:p w14:paraId="069D109B" w14:textId="77777777" w:rsidR="00EE40BE" w:rsidRPr="00521524" w:rsidRDefault="00EE40BE" w:rsidP="00EE40BE">
      <w:pPr>
        <w:rPr>
          <w:lang w:val="en-US"/>
        </w:rPr>
      </w:pPr>
      <w:r w:rsidRPr="00521524">
        <w:rPr>
          <w:lang w:val="en-US"/>
        </w:rPr>
        <w:t xml:space="preserve">To ensure the AWHP program remains </w:t>
      </w:r>
      <w:r w:rsidRPr="00521524">
        <w:rPr>
          <w:b/>
          <w:bCs/>
          <w:lang w:val="en-US"/>
        </w:rPr>
        <w:t>fiscally responsible</w:t>
      </w:r>
      <w:r w:rsidRPr="00521524">
        <w:rPr>
          <w:lang w:val="en-US"/>
        </w:rPr>
        <w:t xml:space="preserve">, robust oversight and periodic evaluation will be critical. Because taxpayers effectively underwrite the incentive (by giving up revenue that would otherwise fund public needs), the City has a duty to those taxpayers to </w:t>
      </w:r>
      <w:r w:rsidRPr="00521524">
        <w:rPr>
          <w:b/>
          <w:bCs/>
          <w:lang w:val="en-US"/>
        </w:rPr>
        <w:t>make sure the program delivers on its promises and does so cost-effectively</w:t>
      </w:r>
      <w:r w:rsidRPr="00521524">
        <w:rPr>
          <w:lang w:val="en-US"/>
        </w:rPr>
        <w:t>. Several points reinforce the need for careful fiscal stewardship:</w:t>
      </w:r>
    </w:p>
    <w:p w14:paraId="5292C98C" w14:textId="77777777" w:rsidR="00EE40BE" w:rsidRPr="00521524" w:rsidRDefault="00EE40BE" w:rsidP="00EE40BE">
      <w:pPr>
        <w:numPr>
          <w:ilvl w:val="0"/>
          <w:numId w:val="28"/>
        </w:numPr>
        <w:rPr>
          <w:lang w:val="en-US"/>
        </w:rPr>
      </w:pPr>
      <w:r w:rsidRPr="00521524">
        <w:rPr>
          <w:b/>
          <w:bCs/>
          <w:lang w:val="en-US"/>
        </w:rPr>
        <w:t>Transparent Accounting:</w:t>
      </w:r>
      <w:r w:rsidRPr="00521524">
        <w:rPr>
          <w:lang w:val="en-US"/>
        </w:rPr>
        <w:t xml:space="preserve"> The City should clearly account for how much incremental tax revenue is being rebated each year under AWHP. This could be reported in budget documents or an annual program report. Taxpayers have a right to know the </w:t>
      </w:r>
      <w:r w:rsidRPr="00521524">
        <w:rPr>
          <w:b/>
          <w:bCs/>
          <w:lang w:val="en-US"/>
        </w:rPr>
        <w:t>magnitude of public funds (in the form of tax rebates) being invested</w:t>
      </w:r>
      <w:r w:rsidRPr="00521524">
        <w:rPr>
          <w:lang w:val="en-US"/>
        </w:rPr>
        <w:t xml:space="preserve"> in these housing projects and what the community is getting in return (e.g. number of affordable units, rent levels, occupancy rates). Transparent reporting builds trust that the program isn’t a back-room giveaway but a calculated investment in community welfare.</w:t>
      </w:r>
    </w:p>
    <w:p w14:paraId="644AE563" w14:textId="77777777" w:rsidR="00EE40BE" w:rsidRPr="00521524" w:rsidRDefault="00EE40BE" w:rsidP="00EE40BE">
      <w:pPr>
        <w:numPr>
          <w:ilvl w:val="0"/>
          <w:numId w:val="28"/>
        </w:numPr>
        <w:rPr>
          <w:lang w:val="en-US"/>
        </w:rPr>
      </w:pPr>
      <w:r w:rsidRPr="00521524">
        <w:rPr>
          <w:b/>
          <w:bCs/>
          <w:lang w:val="en-US"/>
        </w:rPr>
        <w:t>Performance Conditions:</w:t>
      </w:r>
      <w:r w:rsidRPr="00521524">
        <w:rPr>
          <w:lang w:val="en-US"/>
        </w:rPr>
        <w:t xml:space="preserve"> By design, AWHP is a </w:t>
      </w:r>
      <w:r w:rsidRPr="00521524">
        <w:rPr>
          <w:i/>
          <w:iCs/>
          <w:lang w:val="en-US"/>
        </w:rPr>
        <w:t>performance-based</w:t>
      </w:r>
      <w:r w:rsidRPr="00521524">
        <w:rPr>
          <w:lang w:val="en-US"/>
        </w:rPr>
        <w:t xml:space="preserve"> grant – meaning </w:t>
      </w:r>
      <w:r w:rsidRPr="00521524">
        <w:rPr>
          <w:b/>
          <w:bCs/>
          <w:lang w:val="en-US"/>
        </w:rPr>
        <w:t>developers only receive the grant if they fulfill the agreed conditions</w:t>
      </w:r>
      <w:r w:rsidRPr="00521524">
        <w:rPr>
          <w:lang w:val="en-US"/>
        </w:rPr>
        <w:t xml:space="preserve">, such as completing the project as promised and maintaining the units at affordable rents. Enforcing these conditions is paramount. If a developer fails to keep the units affordable or lapses in property upkeep, </w:t>
      </w:r>
      <w:r w:rsidRPr="00521524">
        <w:rPr>
          <w:b/>
          <w:bCs/>
          <w:lang w:val="en-US"/>
        </w:rPr>
        <w:t>the grant payments should be reduced or terminated</w:t>
      </w:r>
      <w:r w:rsidRPr="00521524">
        <w:rPr>
          <w:lang w:val="en-US"/>
        </w:rPr>
        <w:t xml:space="preserve"> per the program guidelines. This ensures the City isn’t paying for affordability that isn’t actually being provided. Essentially, </w:t>
      </w:r>
      <w:r w:rsidRPr="00521524">
        <w:rPr>
          <w:b/>
          <w:bCs/>
          <w:lang w:val="en-US"/>
        </w:rPr>
        <w:t>taxpayer funds must only go toward genuine public benefit</w:t>
      </w:r>
      <w:r w:rsidRPr="00521524">
        <w:rPr>
          <w:lang w:val="en-US"/>
        </w:rPr>
        <w:t>, and the City must be vigilant in verifying that benefit each year.</w:t>
      </w:r>
    </w:p>
    <w:p w14:paraId="284EE587" w14:textId="77777777" w:rsidR="00EE40BE" w:rsidRPr="00521524" w:rsidRDefault="00EE40BE" w:rsidP="00EE40BE">
      <w:pPr>
        <w:numPr>
          <w:ilvl w:val="0"/>
          <w:numId w:val="28"/>
        </w:numPr>
        <w:rPr>
          <w:lang w:val="en-US"/>
        </w:rPr>
      </w:pPr>
      <w:r w:rsidRPr="00521524">
        <w:rPr>
          <w:b/>
          <w:bCs/>
          <w:lang w:val="en-US"/>
        </w:rPr>
        <w:t>Periodic Review and Course Corrections:</w:t>
      </w:r>
      <w:r w:rsidRPr="00521524">
        <w:rPr>
          <w:lang w:val="en-US"/>
        </w:rPr>
        <w:t xml:space="preserve"> The City Council and VBDA should periodically review the overall AWHP program to assess its outcomes versus costs. Important questions for fiscal </w:t>
      </w:r>
      <w:r w:rsidRPr="00521524">
        <w:rPr>
          <w:lang w:val="en-US"/>
        </w:rPr>
        <w:lastRenderedPageBreak/>
        <w:t xml:space="preserve">oversight include: </w:t>
      </w:r>
      <w:r w:rsidRPr="00521524">
        <w:rPr>
          <w:b/>
          <w:bCs/>
          <w:lang w:val="en-US"/>
        </w:rPr>
        <w:t>How many affordable units has AWHP created, at what average cost per unit in forgone taxes?</w:t>
      </w:r>
      <w:r w:rsidRPr="00521524">
        <w:rPr>
          <w:lang w:val="en-US"/>
        </w:rPr>
        <w:t xml:space="preserve"> Are the targeted income groups being served effectively? Could the same housing outcomes be achieved with a smaller incentive (thus preserving more tax revenue), or through alternative policies (like zoning changes, federal grants, etc.)? If the program is not meeting benchmarks – for example, if uptake by developers is low, or projects are not delivering the promised affordability – then the City should recalibrate the policy. Fiscal responsibility means being willing to </w:t>
      </w:r>
      <w:r w:rsidRPr="00521524">
        <w:rPr>
          <w:b/>
          <w:bCs/>
          <w:lang w:val="en-US"/>
        </w:rPr>
        <w:t>adjust or sunset the program if it’s not providing a good return on the public’s investment</w:t>
      </w:r>
      <w:r w:rsidRPr="00521524">
        <w:rPr>
          <w:lang w:val="en-US"/>
        </w:rPr>
        <w:t>.</w:t>
      </w:r>
    </w:p>
    <w:p w14:paraId="75C8285B" w14:textId="77777777" w:rsidR="00EE40BE" w:rsidRPr="00521524" w:rsidRDefault="00EE40BE" w:rsidP="00EE40BE">
      <w:pPr>
        <w:numPr>
          <w:ilvl w:val="0"/>
          <w:numId w:val="28"/>
        </w:numPr>
        <w:rPr>
          <w:lang w:val="en-US"/>
        </w:rPr>
      </w:pPr>
      <w:r w:rsidRPr="00521524">
        <w:rPr>
          <w:b/>
          <w:bCs/>
          <w:lang w:val="en-US"/>
        </w:rPr>
        <w:t>Maintaining Core Services:</w:t>
      </w:r>
      <w:r w:rsidRPr="00521524">
        <w:rPr>
          <w:lang w:val="en-US"/>
        </w:rPr>
        <w:t xml:space="preserve"> City leaders must also plan for how to </w:t>
      </w:r>
      <w:r w:rsidRPr="00521524">
        <w:rPr>
          <w:b/>
          <w:bCs/>
          <w:lang w:val="en-US"/>
        </w:rPr>
        <w:t>maintain service levels despite the deferred revenue</w:t>
      </w:r>
      <w:r w:rsidRPr="00521524">
        <w:rPr>
          <w:lang w:val="en-US"/>
        </w:rPr>
        <w:t xml:space="preserve">. This might involve setting aside a portion of other revenues to cover the service costs attributable to AWHP-supported developments (effectively a “coverage plan” so that schools, public safety, and infrastructure have the resources needed until the grant period lapses and full taxes flow in). Another approach is seeking </w:t>
      </w:r>
      <w:r w:rsidRPr="00521524">
        <w:rPr>
          <w:b/>
          <w:bCs/>
          <w:lang w:val="en-US"/>
        </w:rPr>
        <w:t>complementary funding</w:t>
      </w:r>
      <w:r w:rsidRPr="00521524">
        <w:rPr>
          <w:lang w:val="en-US"/>
        </w:rPr>
        <w:t xml:space="preserve"> – for instance, using state or federal affordable housing funds to supplement what the city is doing, thereby lessening the reliance on local tax rebates alone. By proactively managing the fiscal impacts, the City can uphold its responsibility to current residents not to let essential services erode. Remember, those residents are contributing 42% of the budget; </w:t>
      </w:r>
      <w:r w:rsidRPr="00521524">
        <w:rPr>
          <w:b/>
          <w:bCs/>
          <w:lang w:val="en-US"/>
        </w:rPr>
        <w:t>they expect sound financial management in return for their taxes.</w:t>
      </w:r>
    </w:p>
    <w:p w14:paraId="5558F8A5" w14:textId="77777777" w:rsidR="00221F2A" w:rsidRDefault="00EE40BE" w:rsidP="00221F2A">
      <w:pPr>
        <w:pStyle w:val="ListParagraph"/>
        <w:numPr>
          <w:ilvl w:val="0"/>
          <w:numId w:val="28"/>
        </w:numPr>
        <w:rPr>
          <w:lang w:val="en-US"/>
        </w:rPr>
      </w:pPr>
      <w:r w:rsidRPr="00221F2A">
        <w:rPr>
          <w:b/>
          <w:bCs/>
          <w:lang w:val="en-US"/>
        </w:rPr>
        <w:t>Council’s Role – Accountability to Taxpayers:</w:t>
      </w:r>
      <w:r w:rsidRPr="00221F2A">
        <w:rPr>
          <w:lang w:val="en-US"/>
        </w:rPr>
        <w:t xml:space="preserve"> The Virginia Beach City Council ultimately approves each AWHP grant agreement and appropriates the necessary funding annually. In this role, Council members act as </w:t>
      </w:r>
      <w:r w:rsidRPr="00221F2A">
        <w:rPr>
          <w:b/>
          <w:bCs/>
          <w:lang w:val="en-US"/>
        </w:rPr>
        <w:t>guardians of taxpayer dollars</w:t>
      </w:r>
      <w:r w:rsidRPr="00221F2A">
        <w:rPr>
          <w:lang w:val="en-US"/>
        </w:rPr>
        <w:t xml:space="preserve"> and must weigh each project’s merits against its cost. Practically, this means asking tough questions during approval: </w:t>
      </w:r>
    </w:p>
    <w:p w14:paraId="47FFED86" w14:textId="77777777" w:rsidR="00221F2A" w:rsidRPr="00221F2A" w:rsidRDefault="00EE40BE" w:rsidP="00221F2A">
      <w:pPr>
        <w:pStyle w:val="ListParagraph"/>
        <w:numPr>
          <w:ilvl w:val="1"/>
          <w:numId w:val="28"/>
        </w:numPr>
        <w:rPr>
          <w:lang w:val="en-US"/>
        </w:rPr>
      </w:pPr>
      <w:r w:rsidRPr="00221F2A">
        <w:rPr>
          <w:b/>
          <w:bCs/>
          <w:i/>
          <w:iCs/>
          <w:lang w:val="en-US"/>
        </w:rPr>
        <w:t xml:space="preserve">Would this development likely happen at all without the grant? </w:t>
      </w:r>
    </w:p>
    <w:p w14:paraId="25B7321A" w14:textId="77777777" w:rsidR="00221F2A" w:rsidRPr="00221F2A" w:rsidRDefault="00EE40BE" w:rsidP="00221F2A">
      <w:pPr>
        <w:pStyle w:val="ListParagraph"/>
        <w:numPr>
          <w:ilvl w:val="1"/>
          <w:numId w:val="28"/>
        </w:numPr>
        <w:rPr>
          <w:lang w:val="en-US"/>
        </w:rPr>
      </w:pPr>
      <w:r w:rsidRPr="00221F2A">
        <w:rPr>
          <w:b/>
          <w:bCs/>
          <w:i/>
          <w:iCs/>
          <w:lang w:val="en-US"/>
        </w:rPr>
        <w:t xml:space="preserve">Is the level of incentive no more than necessary to achieve affordability? </w:t>
      </w:r>
    </w:p>
    <w:p w14:paraId="16AF0E0C" w14:textId="77777777" w:rsidR="00221F2A" w:rsidRDefault="00EE40BE" w:rsidP="00221F2A">
      <w:pPr>
        <w:pStyle w:val="ListParagraph"/>
        <w:numPr>
          <w:ilvl w:val="1"/>
          <w:numId w:val="28"/>
        </w:numPr>
        <w:rPr>
          <w:lang w:val="en-US"/>
        </w:rPr>
      </w:pPr>
      <w:r w:rsidRPr="00221F2A">
        <w:rPr>
          <w:b/>
          <w:bCs/>
          <w:i/>
          <w:iCs/>
          <w:lang w:val="en-US"/>
        </w:rPr>
        <w:t>Does the long-term benefit to the community (e.g. workforce stability, reduced demand for social services, economic growth) outweigh the long-term tax revenue given up?</w:t>
      </w:r>
      <w:r w:rsidRPr="00221F2A">
        <w:rPr>
          <w:lang w:val="en-US"/>
        </w:rPr>
        <w:t xml:space="preserve"> </w:t>
      </w:r>
    </w:p>
    <w:p w14:paraId="1AC133BB" w14:textId="54BAAFFC" w:rsidR="00EE40BE" w:rsidRPr="00221F2A" w:rsidRDefault="00EE40BE" w:rsidP="00221F2A">
      <w:pPr>
        <w:rPr>
          <w:lang w:val="en-US"/>
        </w:rPr>
      </w:pPr>
      <w:r w:rsidRPr="00221F2A">
        <w:rPr>
          <w:lang w:val="en-US"/>
        </w:rPr>
        <w:t xml:space="preserve">By approaching each decision with a mindset of </w:t>
      </w:r>
      <w:r w:rsidRPr="00221F2A">
        <w:rPr>
          <w:b/>
          <w:bCs/>
          <w:lang w:val="en-US"/>
        </w:rPr>
        <w:t>protecting taxpayer interests</w:t>
      </w:r>
      <w:r w:rsidRPr="00221F2A">
        <w:rPr>
          <w:lang w:val="en-US"/>
        </w:rPr>
        <w:t>, Council can refine the balance between incentivizing housing and maintaining fiscal discipline.</w:t>
      </w:r>
    </w:p>
    <w:p w14:paraId="00EA4C67" w14:textId="77777777" w:rsidR="00EE40BE" w:rsidRPr="00521524" w:rsidRDefault="00EE40BE" w:rsidP="00EE40BE">
      <w:pPr>
        <w:rPr>
          <w:b/>
          <w:bCs/>
          <w:lang w:val="en-US"/>
        </w:rPr>
      </w:pPr>
      <w:r w:rsidRPr="00521524">
        <w:rPr>
          <w:b/>
          <w:bCs/>
          <w:lang w:val="en-US"/>
        </w:rPr>
        <w:t>Conclusion</w:t>
      </w:r>
    </w:p>
    <w:p w14:paraId="3781B920" w14:textId="77777777" w:rsidR="00EE40BE" w:rsidRPr="00521524" w:rsidRDefault="00EE40BE" w:rsidP="00EE40BE">
      <w:pPr>
        <w:rPr>
          <w:lang w:val="en-US"/>
        </w:rPr>
      </w:pPr>
      <w:r w:rsidRPr="00521524">
        <w:rPr>
          <w:lang w:val="en-US"/>
        </w:rPr>
        <w:t xml:space="preserve">The Attainable Workforce Housing Performance Grant represents an innovative civic tool to tackle a critical challenge – the shortage of affordable housing for middle-income residents – but it also represents a </w:t>
      </w:r>
      <w:r w:rsidRPr="00521524">
        <w:rPr>
          <w:b/>
          <w:bCs/>
          <w:lang w:val="en-US"/>
        </w:rPr>
        <w:t>significant policy trade-off</w:t>
      </w:r>
      <w:r w:rsidRPr="00521524">
        <w:rPr>
          <w:lang w:val="en-US"/>
        </w:rPr>
        <w:t xml:space="preserve">. On one hand, it promises to </w:t>
      </w:r>
      <w:r w:rsidRPr="00521524">
        <w:rPr>
          <w:b/>
          <w:bCs/>
          <w:lang w:val="en-US"/>
        </w:rPr>
        <w:t>leverage private investment for public good</w:t>
      </w:r>
      <w:r w:rsidRPr="00521524">
        <w:rPr>
          <w:lang w:val="en-US"/>
        </w:rPr>
        <w:t xml:space="preserve">, aligning with Virginia Beach’s goals of an inclusive community where essential workers can afford to live. On the other hand, it asks the City (and by extension, its taxpayers) to </w:t>
      </w:r>
      <w:r w:rsidRPr="00521524">
        <w:rPr>
          <w:b/>
          <w:bCs/>
          <w:lang w:val="en-US"/>
        </w:rPr>
        <w:t>defer substantial revenue and trust that this investment will pay off</w:t>
      </w:r>
      <w:r w:rsidRPr="00521524">
        <w:rPr>
          <w:lang w:val="en-US"/>
        </w:rPr>
        <w:t xml:space="preserve"> in the form of broader social and economic benefits.</w:t>
      </w:r>
    </w:p>
    <w:p w14:paraId="06A7D2D4" w14:textId="77777777" w:rsidR="00EE40BE" w:rsidRPr="00521524" w:rsidRDefault="00EE40BE" w:rsidP="00EE40BE">
      <w:pPr>
        <w:rPr>
          <w:lang w:val="en-US"/>
        </w:rPr>
      </w:pPr>
      <w:r w:rsidRPr="00521524">
        <w:rPr>
          <w:lang w:val="en-US"/>
        </w:rPr>
        <w:lastRenderedPageBreak/>
        <w:t xml:space="preserve">In a VBCCO civic policy discussion, it is important to recognize </w:t>
      </w:r>
      <w:r w:rsidRPr="00521524">
        <w:rPr>
          <w:b/>
          <w:bCs/>
          <w:lang w:val="en-US"/>
        </w:rPr>
        <w:t>both the hope and the caution</w:t>
      </w:r>
      <w:r w:rsidRPr="00521524">
        <w:rPr>
          <w:lang w:val="en-US"/>
        </w:rPr>
        <w:t xml:space="preserve"> embodied in AWHP. The hope is that this program will yield tangible benefits: more housing opportunities for residents, a stronger workforce, and perhaps eventually a broadened tax base once the grants expire. The caution is that public resources – which could have gone to reducing class sizes, repaving roads, or keeping tax rates low – are being partially redirected to incentivize developers, so the community must demand </w:t>
      </w:r>
      <w:r w:rsidRPr="00521524">
        <w:rPr>
          <w:b/>
          <w:bCs/>
          <w:lang w:val="en-US"/>
        </w:rPr>
        <w:t>accountability and real affordability outcomes</w:t>
      </w:r>
      <w:r w:rsidRPr="00521524">
        <w:rPr>
          <w:lang w:val="en-US"/>
        </w:rPr>
        <w:t xml:space="preserve"> in return.</w:t>
      </w:r>
    </w:p>
    <w:p w14:paraId="6F4FB18E" w14:textId="77777777" w:rsidR="00EE40BE" w:rsidRPr="00521524" w:rsidRDefault="00EE40BE" w:rsidP="00EE40BE">
      <w:pPr>
        <w:rPr>
          <w:lang w:val="en-US"/>
        </w:rPr>
      </w:pPr>
      <w:r w:rsidRPr="00521524">
        <w:rPr>
          <w:lang w:val="en-US"/>
        </w:rPr>
        <w:t xml:space="preserve">From a </w:t>
      </w:r>
      <w:r w:rsidRPr="00521524">
        <w:rPr>
          <w:b/>
          <w:bCs/>
          <w:lang w:val="en-US"/>
        </w:rPr>
        <w:t>taxpayer equity standpoint</w:t>
      </w:r>
      <w:r w:rsidRPr="00521524">
        <w:rPr>
          <w:lang w:val="en-US"/>
        </w:rPr>
        <w:t xml:space="preserve">, the question boils down to fairness and shared responsibility. The </w:t>
      </w:r>
      <w:r w:rsidRPr="00521524">
        <w:rPr>
          <w:b/>
          <w:bCs/>
          <w:lang w:val="en-US"/>
        </w:rPr>
        <w:t>42% of City operations funded by residents’ taxes and fees</w:t>
      </w:r>
      <w:r w:rsidRPr="00521524">
        <w:rPr>
          <w:lang w:val="en-US"/>
        </w:rPr>
        <w:t xml:space="preserve"> should confer those residents a central voice in evaluating AWHP’s success. If the program is to continue and possibly expand, it must remain </w:t>
      </w:r>
      <w:r w:rsidRPr="00521524">
        <w:rPr>
          <w:b/>
          <w:bCs/>
          <w:lang w:val="en-US"/>
        </w:rPr>
        <w:t>transparent, fair, and demonstrably beneficial to the community at large</w:t>
      </w:r>
      <w:r w:rsidRPr="00521524">
        <w:rPr>
          <w:lang w:val="en-US"/>
        </w:rPr>
        <w:t xml:space="preserve"> – not just to those who receive the new housing or the developers who build it. Civic leaders should continue to </w:t>
      </w:r>
      <w:r w:rsidRPr="00521524">
        <w:rPr>
          <w:b/>
          <w:bCs/>
          <w:lang w:val="en-US"/>
        </w:rPr>
        <w:t>sharpen the focus on equity</w:t>
      </w:r>
      <w:r w:rsidRPr="00521524">
        <w:rPr>
          <w:lang w:val="en-US"/>
        </w:rPr>
        <w:t xml:space="preserve">, ensuring that </w:t>
      </w:r>
      <w:r w:rsidRPr="00521524">
        <w:rPr>
          <w:b/>
          <w:bCs/>
          <w:lang w:val="en-US"/>
        </w:rPr>
        <w:t>the burdens and benefits of AWHP are distributed justly among stakeholders</w:t>
      </w:r>
      <w:r w:rsidRPr="00521524">
        <w:rPr>
          <w:lang w:val="en-US"/>
        </w:rPr>
        <w:t>.</w:t>
      </w:r>
    </w:p>
    <w:p w14:paraId="5F5B8AAC" w14:textId="77777777" w:rsidR="00EE40BE" w:rsidRPr="00521524" w:rsidRDefault="00EE40BE" w:rsidP="00EE40BE">
      <w:pPr>
        <w:rPr>
          <w:lang w:val="en-US"/>
        </w:rPr>
      </w:pPr>
      <w:r w:rsidRPr="00521524">
        <w:rPr>
          <w:lang w:val="en-US"/>
        </w:rPr>
        <w:t xml:space="preserve">In conclusion, the AWHP can be seen as a </w:t>
      </w:r>
      <w:r w:rsidRPr="00521524">
        <w:rPr>
          <w:b/>
          <w:bCs/>
          <w:lang w:val="en-US"/>
        </w:rPr>
        <w:t>bold civic investment</w:t>
      </w:r>
      <w:r w:rsidRPr="00521524">
        <w:rPr>
          <w:lang w:val="en-US"/>
        </w:rPr>
        <w:t xml:space="preserve"> in the future of Virginia Beach – one that requires careful stewardship. By reinforcing fiscal responsibility and keeping taxpayer equity at the forefront of implementation, the City can strive to make this program a win-win: </w:t>
      </w:r>
      <w:r w:rsidRPr="00521524">
        <w:rPr>
          <w:b/>
          <w:bCs/>
          <w:lang w:val="en-US"/>
        </w:rPr>
        <w:t>a Virginia Beach where more hardworking residents can attain decent housing, without asking those already here to unfairly shoulder the cost.</w:t>
      </w:r>
      <w:r w:rsidRPr="00521524">
        <w:rPr>
          <w:lang w:val="en-US"/>
        </w:rPr>
        <w:t xml:space="preserve"> Such an outcome would indeed exemplify a successful balance of </w:t>
      </w:r>
      <w:r w:rsidRPr="00521524">
        <w:rPr>
          <w:b/>
          <w:bCs/>
          <w:lang w:val="en-US"/>
        </w:rPr>
        <w:t>attainable housing progress and prudent governance</w:t>
      </w:r>
      <w:r w:rsidRPr="00521524">
        <w:rPr>
          <w:lang w:val="en-US"/>
        </w:rPr>
        <w:t>, worthy of our city’s trust and support.</w:t>
      </w:r>
    </w:p>
    <w:p w14:paraId="55E3CC83" w14:textId="77777777" w:rsidR="00EE40BE" w:rsidRPr="00521524" w:rsidRDefault="00EE40BE" w:rsidP="00EE40BE">
      <w:pPr>
        <w:rPr>
          <w:lang w:val="en-US"/>
        </w:rPr>
      </w:pPr>
      <w:r w:rsidRPr="00521524">
        <w:rPr>
          <w:b/>
          <w:bCs/>
          <w:lang w:val="en-US"/>
        </w:rPr>
        <w:t>Sources:</w:t>
      </w:r>
    </w:p>
    <w:p w14:paraId="1F29AA3D" w14:textId="37B87A69" w:rsidR="00EE40BE" w:rsidRPr="00521524" w:rsidRDefault="00EE40BE" w:rsidP="00EE40BE">
      <w:pPr>
        <w:numPr>
          <w:ilvl w:val="0"/>
          <w:numId w:val="29"/>
        </w:numPr>
        <w:rPr>
          <w:lang w:val="en-US"/>
        </w:rPr>
      </w:pPr>
      <w:r w:rsidRPr="00521524">
        <w:rPr>
          <w:lang w:val="en-US"/>
        </w:rPr>
        <w:t xml:space="preserve">City of Virginia Beach Real Estate Assessor – </w:t>
      </w:r>
      <w:r w:rsidRPr="00521524">
        <w:rPr>
          <w:i/>
          <w:iCs/>
          <w:lang w:val="en-US"/>
        </w:rPr>
        <w:t>Annual Report to City Council (Feb 2025)</w:t>
      </w:r>
      <w:r w:rsidRPr="00521524">
        <w:rPr>
          <w:lang w:val="en-US"/>
        </w:rPr>
        <w:t>: real estate taxes ≈30% of General Fund revenue</w:t>
      </w:r>
      <w:r w:rsidR="00070ED3">
        <w:rPr>
          <w:lang w:val="en-US"/>
        </w:rPr>
        <w:t xml:space="preserve"> </w:t>
      </w:r>
      <w:hyperlink r:id="rId24" w:anchor=":~:text=By%20law%2C%20the%20City%20must,police%20protection%2C%20roads%20and%20more" w:tgtFrame="_blank" w:history="1">
        <w:r w:rsidRPr="00521524">
          <w:rPr>
            <w:rStyle w:val="Hyperlink"/>
            <w:lang w:val="en-US"/>
          </w:rPr>
          <w:t>virginiabeach.gov</w:t>
        </w:r>
      </w:hyperlink>
      <w:r w:rsidRPr="00521524">
        <w:rPr>
          <w:lang w:val="en-US"/>
        </w:rPr>
        <w:t>.</w:t>
      </w:r>
    </w:p>
    <w:p w14:paraId="1C74A82D" w14:textId="3B3CD733" w:rsidR="00EE40BE" w:rsidRPr="00521524" w:rsidRDefault="00EE40BE" w:rsidP="00EE40BE">
      <w:pPr>
        <w:numPr>
          <w:ilvl w:val="0"/>
          <w:numId w:val="29"/>
        </w:numPr>
        <w:rPr>
          <w:lang w:val="en-US"/>
        </w:rPr>
      </w:pPr>
      <w:r w:rsidRPr="00521524">
        <w:rPr>
          <w:lang w:val="en-US"/>
        </w:rPr>
        <w:t xml:space="preserve">WHRO News – </w:t>
      </w:r>
      <w:r w:rsidRPr="00521524">
        <w:rPr>
          <w:i/>
          <w:iCs/>
          <w:lang w:val="en-US"/>
        </w:rPr>
        <w:t>Virginia Beach budget 2025</w:t>
      </w:r>
      <w:r w:rsidRPr="00521524">
        <w:rPr>
          <w:lang w:val="en-US"/>
        </w:rPr>
        <w:t xml:space="preserve"> (Feb 7, 2025): residents pay ~75% of real estate tax base; real estate tax is largest revenue source</w:t>
      </w:r>
      <w:r w:rsidR="00070ED3">
        <w:rPr>
          <w:lang w:val="en-US"/>
        </w:rPr>
        <w:t xml:space="preserve"> </w:t>
      </w:r>
      <w:hyperlink r:id="rId25" w:anchor=":~:text=money,businesses%20making%20up%20the%20rest" w:tgtFrame="_blank" w:history="1">
        <w:r w:rsidRPr="00521524">
          <w:rPr>
            <w:rStyle w:val="Hyperlink"/>
            <w:lang w:val="en-US"/>
          </w:rPr>
          <w:t>whro.org</w:t>
        </w:r>
      </w:hyperlink>
      <w:r w:rsidRPr="00521524">
        <w:rPr>
          <w:lang w:val="en-US"/>
        </w:rPr>
        <w:t>.</w:t>
      </w:r>
    </w:p>
    <w:p w14:paraId="42647ACC" w14:textId="28189D31" w:rsidR="00EE40BE" w:rsidRPr="00521524" w:rsidRDefault="00EE40BE" w:rsidP="00EE40BE">
      <w:pPr>
        <w:numPr>
          <w:ilvl w:val="0"/>
          <w:numId w:val="29"/>
        </w:numPr>
        <w:rPr>
          <w:lang w:val="en-US"/>
        </w:rPr>
      </w:pPr>
      <w:r w:rsidRPr="00521524">
        <w:rPr>
          <w:lang w:val="en-US"/>
        </w:rPr>
        <w:t xml:space="preserve">Virginia Beach Press Release (Sept 18, 2025) – </w:t>
      </w:r>
      <w:r w:rsidRPr="00521524">
        <w:rPr>
          <w:i/>
          <w:iCs/>
          <w:lang w:val="en-US"/>
        </w:rPr>
        <w:t>City Launches Affordable Rental Housing Program</w:t>
      </w:r>
      <w:r w:rsidRPr="00521524">
        <w:rPr>
          <w:lang w:val="en-US"/>
        </w:rPr>
        <w:t>: AWHP program details and 15-year grant structure</w:t>
      </w:r>
      <w:r w:rsidR="00070ED3">
        <w:rPr>
          <w:lang w:val="en-US"/>
        </w:rPr>
        <w:t xml:space="preserve"> </w:t>
      </w:r>
      <w:hyperlink r:id="rId26" w:anchor=":~:text=Through%20the%20program%2C%20annual%20grants,helping%20to%20fill%20funding%20gaps" w:tgtFrame="_blank" w:history="1">
        <w:r w:rsidRPr="00521524">
          <w:rPr>
            <w:rStyle w:val="Hyperlink"/>
            <w:lang w:val="en-US"/>
          </w:rPr>
          <w:t>virginiabeach.gov</w:t>
        </w:r>
      </w:hyperlink>
      <w:r w:rsidRPr="00521524">
        <w:rPr>
          <w:lang w:val="en-US"/>
        </w:rPr>
        <w:t>.</w:t>
      </w:r>
    </w:p>
    <w:p w14:paraId="23C7C3A5" w14:textId="3588761A" w:rsidR="00EE40BE" w:rsidRPr="00521524" w:rsidRDefault="00EE40BE" w:rsidP="00EE40BE">
      <w:pPr>
        <w:numPr>
          <w:ilvl w:val="0"/>
          <w:numId w:val="29"/>
        </w:numPr>
        <w:rPr>
          <w:lang w:val="en-US"/>
        </w:rPr>
      </w:pPr>
      <w:r w:rsidRPr="00521524">
        <w:rPr>
          <w:lang w:val="en-US"/>
        </w:rPr>
        <w:t>VB Development Authority Meeting Summary (Mar 11, 2025) – highlights AWHP design “without relying on existing city funds”</w:t>
      </w:r>
      <w:r w:rsidR="00070ED3">
        <w:rPr>
          <w:lang w:val="en-US"/>
        </w:rPr>
        <w:t xml:space="preserve"> </w:t>
      </w:r>
      <w:hyperlink r:id="rId27" w:anchor=":~:text=The%20Attainable%20Workforce%20Housing%20Performance,minimum%20number%20of%20affordable%20units" w:tgtFrame="_blank" w:history="1">
        <w:r w:rsidRPr="00521524">
          <w:rPr>
            <w:rStyle w:val="Hyperlink"/>
            <w:lang w:val="en-US"/>
          </w:rPr>
          <w:t>citizenportal.ai</w:t>
        </w:r>
      </w:hyperlink>
      <w:r w:rsidRPr="00521524">
        <w:rPr>
          <w:lang w:val="en-US"/>
        </w:rPr>
        <w:t xml:space="preserve"> and need for affordable units (1/3 households cost-burdened)</w:t>
      </w:r>
      <w:r w:rsidR="00070ED3">
        <w:rPr>
          <w:lang w:val="en-US"/>
        </w:rPr>
        <w:t xml:space="preserve"> </w:t>
      </w:r>
      <w:hyperlink r:id="rId28" w:anchor=":~:text=The%20grant%20proposal%20comes%20in,sectors%20like%20retail%20and%20hospitality" w:tgtFrame="_blank" w:history="1">
        <w:r w:rsidRPr="00521524">
          <w:rPr>
            <w:rStyle w:val="Hyperlink"/>
            <w:lang w:val="en-US"/>
          </w:rPr>
          <w:t>citizenportal.ai</w:t>
        </w:r>
      </w:hyperlink>
      <w:r w:rsidRPr="00521524">
        <w:rPr>
          <w:lang w:val="en-US"/>
        </w:rPr>
        <w:t>.</w:t>
      </w:r>
    </w:p>
    <w:p w14:paraId="41A95B1F" w14:textId="717B45A5" w:rsidR="00EE40BE" w:rsidRPr="00521524" w:rsidRDefault="00EE40BE" w:rsidP="00EE40BE">
      <w:pPr>
        <w:numPr>
          <w:ilvl w:val="0"/>
          <w:numId w:val="29"/>
        </w:numPr>
        <w:rPr>
          <w:lang w:val="en-US"/>
        </w:rPr>
      </w:pPr>
      <w:r w:rsidRPr="00521524">
        <w:rPr>
          <w:i/>
          <w:iCs/>
          <w:lang w:val="en-US"/>
        </w:rPr>
        <w:t>The Richmonder</w:t>
      </w:r>
      <w:r w:rsidRPr="00521524">
        <w:rPr>
          <w:lang w:val="en-US"/>
        </w:rPr>
        <w:t xml:space="preserve"> (July 22, 2025) – Richmond’s affordable housing grant model (basis for VB’s AWHP) and concerns about long-term revenue trade-offs (15–30 year tax rebates)</w:t>
      </w:r>
      <w:r w:rsidR="00070ED3">
        <w:rPr>
          <w:lang w:val="en-US"/>
        </w:rPr>
        <w:t xml:space="preserve"> </w:t>
      </w:r>
      <w:hyperlink r:id="rId29" w:anchor=":~:text=Still%2C%20skeptics%20have%20raised%20concerns,just%20a%20giveaway%20to%20developers" w:tgtFrame="_blank" w:history="1">
        <w:r w:rsidRPr="00521524">
          <w:rPr>
            <w:rStyle w:val="Hyperlink"/>
            <w:lang w:val="en-US"/>
          </w:rPr>
          <w:t>richmonder.org</w:t>
        </w:r>
      </w:hyperlink>
      <w:hyperlink r:id="rId30" w:anchor=":~:text=Since%20then%2C%20Richmond%20has%20signed,Performance%20Grant%20program%20on%20Richmond%E2%80%99s" w:tgtFrame="_blank" w:history="1">
        <w:r w:rsidRPr="00521524">
          <w:rPr>
            <w:rStyle w:val="Hyperlink"/>
            <w:lang w:val="en-US"/>
          </w:rPr>
          <w:t>richmonder.org</w:t>
        </w:r>
      </w:hyperlink>
      <w:r w:rsidRPr="00521524">
        <w:rPr>
          <w:lang w:val="en-US"/>
        </w:rPr>
        <w:t>.</w:t>
      </w:r>
    </w:p>
    <w:p w14:paraId="0871CCE2" w14:textId="676A2479" w:rsidR="008A30F3" w:rsidRPr="00EE40BE" w:rsidRDefault="00EE40BE" w:rsidP="005F659B">
      <w:pPr>
        <w:numPr>
          <w:ilvl w:val="0"/>
          <w:numId w:val="29"/>
        </w:numPr>
      </w:pPr>
      <w:r w:rsidRPr="00221F2A">
        <w:rPr>
          <w:lang w:val="en-US"/>
        </w:rPr>
        <w:t>Virginia Beach City Council discussion – emphasis on evaluating impacts on schools and services for AWHP projects</w:t>
      </w:r>
      <w:r w:rsidR="00070ED3" w:rsidRPr="00221F2A">
        <w:rPr>
          <w:lang w:val="en-US"/>
        </w:rPr>
        <w:t xml:space="preserve"> </w:t>
      </w:r>
      <w:hyperlink r:id="rId31" w:anchor=":~:text=During%20the%20meeting%2C%20members%20of,broader%20implications%20for%20the%20community" w:tgtFrame="_blank" w:history="1">
        <w:r w:rsidRPr="00221F2A">
          <w:rPr>
            <w:rStyle w:val="Hyperlink"/>
            <w:lang w:val="en-US"/>
          </w:rPr>
          <w:t>citizenportal.ai</w:t>
        </w:r>
      </w:hyperlink>
      <w:r w:rsidRPr="00221F2A">
        <w:rPr>
          <w:lang w:val="en-US"/>
        </w:rPr>
        <w:t>.</w:t>
      </w:r>
    </w:p>
    <w:sectPr w:rsidR="008A30F3" w:rsidRPr="00EE40BE">
      <w:headerReference w:type="even" r:id="rId32"/>
      <w:headerReference w:type="default" r:id="rId33"/>
      <w:footerReference w:type="even" r:id="rId34"/>
      <w:footerReference w:type="default" r:id="rId35"/>
      <w:headerReference w:type="first" r:id="rId36"/>
      <w:footerReference w:type="first" r:id="rId37"/>
      <w:pgSz w:w="12240" w:h="15840"/>
      <w:pgMar w:top="1440" w:right="1440" w:bottom="1440" w:left="1440" w:header="720" w:footer="5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61A4A" w14:textId="77777777" w:rsidR="00690DE4" w:rsidRDefault="00690DE4">
      <w:pPr>
        <w:spacing w:after="0" w:line="240" w:lineRule="auto"/>
      </w:pPr>
      <w:r>
        <w:separator/>
      </w:r>
    </w:p>
  </w:endnote>
  <w:endnote w:type="continuationSeparator" w:id="0">
    <w:p w14:paraId="1F83B814" w14:textId="77777777" w:rsidR="00690DE4" w:rsidRDefault="00690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DED06" w14:textId="77777777" w:rsidR="00007A44" w:rsidRDefault="00007A4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1F899" w14:textId="1F8F4CAA" w:rsidR="00007A44"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23CA1">
      <w:rPr>
        <w:noProof/>
        <w:color w:val="000000"/>
      </w:rPr>
      <w:t>2</w:t>
    </w:r>
    <w:r>
      <w:rPr>
        <w:color w:val="000000"/>
      </w:rPr>
      <w:fldChar w:fldCharType="end"/>
    </w:r>
  </w:p>
  <w:p w14:paraId="3D4ABA1B" w14:textId="77777777" w:rsidR="00007A44" w:rsidRDefault="00007A4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863E1" w14:textId="77777777" w:rsidR="00932847" w:rsidRDefault="0093284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5E798" w14:textId="77777777" w:rsidR="00690DE4" w:rsidRDefault="00690DE4">
      <w:pPr>
        <w:spacing w:after="0" w:line="240" w:lineRule="auto"/>
      </w:pPr>
      <w:r>
        <w:separator/>
      </w:r>
    </w:p>
  </w:footnote>
  <w:footnote w:type="continuationSeparator" w:id="0">
    <w:p w14:paraId="7119F97A" w14:textId="77777777" w:rsidR="00690DE4" w:rsidRDefault="00690D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91A0D" w14:textId="4CF16894" w:rsidR="00007A44" w:rsidRDefault="001C6137">
    <w:pPr>
      <w:pBdr>
        <w:top w:val="nil"/>
        <w:left w:val="nil"/>
        <w:bottom w:val="nil"/>
        <w:right w:val="nil"/>
        <w:between w:val="nil"/>
      </w:pBdr>
      <w:tabs>
        <w:tab w:val="center" w:pos="4680"/>
        <w:tab w:val="right" w:pos="9360"/>
      </w:tabs>
      <w:spacing w:after="0" w:line="240" w:lineRule="auto"/>
      <w:ind w:firstLine="3600"/>
      <w:rPr>
        <w:color w:val="000000"/>
        <w:sz w:val="56"/>
        <w:szCs w:val="56"/>
      </w:rPr>
    </w:pPr>
    <w:r>
      <w:rPr>
        <w:noProof/>
      </w:rPr>
      <w:drawing>
        <wp:anchor distT="0" distB="0" distL="0" distR="0" simplePos="0" relativeHeight="251658240" behindDoc="1" locked="0" layoutInCell="1" hidden="0" allowOverlap="1" wp14:anchorId="1FA9420F" wp14:editId="3B580BDF">
          <wp:simplePos x="0" y="0"/>
          <wp:positionH relativeFrom="column">
            <wp:posOffset>-257174</wp:posOffset>
          </wp:positionH>
          <wp:positionV relativeFrom="paragraph">
            <wp:posOffset>-137159</wp:posOffset>
          </wp:positionV>
          <wp:extent cx="1995170" cy="2095500"/>
          <wp:effectExtent l="0" t="0" r="0" b="0"/>
          <wp:wrapNone/>
          <wp:docPr id="950375145" name="image2.jpg" descr="A person in a suit and ti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person in a suit and tie&#10;&#10;Description automatically generated"/>
                  <pic:cNvPicPr preferRelativeResize="0"/>
                </pic:nvPicPr>
                <pic:blipFill>
                  <a:blip r:embed="rId1"/>
                  <a:srcRect/>
                  <a:stretch>
                    <a:fillRect/>
                  </a:stretch>
                </pic:blipFill>
                <pic:spPr>
                  <a:xfrm>
                    <a:off x="0" y="0"/>
                    <a:ext cx="1995170" cy="2095500"/>
                  </a:xfrm>
                  <a:prstGeom prst="rect">
                    <a:avLst/>
                  </a:prstGeom>
                  <a:ln/>
                </pic:spPr>
              </pic:pic>
            </a:graphicData>
          </a:graphic>
        </wp:anchor>
      </w:drawing>
    </w:r>
  </w:p>
  <w:p w14:paraId="52E93DA9" w14:textId="77777777" w:rsidR="00007A44" w:rsidRDefault="00000000">
    <w:pPr>
      <w:pBdr>
        <w:top w:val="nil"/>
        <w:left w:val="nil"/>
        <w:bottom w:val="nil"/>
        <w:right w:val="nil"/>
        <w:between w:val="nil"/>
      </w:pBdr>
      <w:tabs>
        <w:tab w:val="center" w:pos="4680"/>
        <w:tab w:val="right" w:pos="9360"/>
      </w:tabs>
      <w:spacing w:after="0" w:line="240" w:lineRule="auto"/>
      <w:ind w:firstLine="3600"/>
      <w:rPr>
        <w:color w:val="000000"/>
        <w:sz w:val="56"/>
        <w:szCs w:val="56"/>
      </w:rPr>
    </w:pPr>
    <w:r>
      <w:rPr>
        <w:color w:val="000000"/>
        <w:sz w:val="56"/>
        <w:szCs w:val="56"/>
      </w:rPr>
      <w:t>Robert M. “Bobby” Dyer</w:t>
    </w:r>
  </w:p>
  <w:p w14:paraId="58EF6D89" w14:textId="77777777" w:rsidR="00007A44" w:rsidRDefault="00007A44">
    <w:pPr>
      <w:spacing w:after="0" w:line="240" w:lineRule="auto"/>
      <w:ind w:left="3600"/>
      <w:rPr>
        <w:rFonts w:ascii="Aptos" w:eastAsia="Aptos" w:hAnsi="Aptos" w:cs="Aptos"/>
      </w:rPr>
    </w:pPr>
  </w:p>
  <w:p w14:paraId="744A053F" w14:textId="77777777" w:rsidR="00007A44" w:rsidRDefault="00000000">
    <w:pPr>
      <w:spacing w:after="0" w:line="240" w:lineRule="auto"/>
      <w:ind w:left="3600"/>
      <w:rPr>
        <w:rFonts w:ascii="Aptos" w:eastAsia="Aptos" w:hAnsi="Aptos" w:cs="Aptos"/>
      </w:rPr>
    </w:pPr>
    <w:r>
      <w:rPr>
        <w:rFonts w:ascii="Aptos" w:eastAsia="Aptos" w:hAnsi="Aptos" w:cs="Aptos"/>
      </w:rPr>
      <w:t>Candidate Website: [website]</w:t>
    </w:r>
  </w:p>
  <w:p w14:paraId="56B831FA" w14:textId="77777777" w:rsidR="00007A44" w:rsidRDefault="00000000">
    <w:pPr>
      <w:spacing w:after="0" w:line="240" w:lineRule="auto"/>
      <w:ind w:left="3600"/>
      <w:rPr>
        <w:rFonts w:ascii="Aptos" w:eastAsia="Aptos" w:hAnsi="Aptos" w:cs="Aptos"/>
      </w:rPr>
    </w:pPr>
    <w:r>
      <w:rPr>
        <w:rFonts w:ascii="Aptos" w:eastAsia="Aptos" w:hAnsi="Aptos" w:cs="Aptos"/>
      </w:rPr>
      <w:t>Candidate Email: [Contact Email]</w:t>
    </w:r>
  </w:p>
  <w:p w14:paraId="736239D4" w14:textId="77777777" w:rsidR="00007A44" w:rsidRDefault="00000000">
    <w:pPr>
      <w:spacing w:after="0" w:line="240" w:lineRule="auto"/>
      <w:ind w:left="3600"/>
      <w:rPr>
        <w:rFonts w:ascii="Aptos" w:eastAsia="Aptos" w:hAnsi="Aptos" w:cs="Aptos"/>
      </w:rPr>
    </w:pPr>
    <w:r>
      <w:rPr>
        <w:rFonts w:ascii="Aptos" w:eastAsia="Aptos" w:hAnsi="Aptos" w:cs="Aptos"/>
      </w:rPr>
      <w:t>Candidate Phone: [Contact Number]</w:t>
    </w:r>
  </w:p>
  <w:p w14:paraId="1A517D71" w14:textId="77777777" w:rsidR="00007A44" w:rsidRDefault="00000000">
    <w:pPr>
      <w:spacing w:after="0" w:line="240" w:lineRule="auto"/>
      <w:ind w:left="3600"/>
      <w:rPr>
        <w:rFonts w:ascii="Aptos" w:eastAsia="Aptos" w:hAnsi="Aptos" w:cs="Aptos"/>
      </w:rPr>
    </w:pPr>
    <w:r>
      <w:rPr>
        <w:rFonts w:ascii="Aptos" w:eastAsia="Aptos" w:hAnsi="Aptos" w:cs="Aptos"/>
      </w:rPr>
      <w:t>Candidate Social Media: [Handles for platforms like Facebook, Twitter, Instagram]</w:t>
    </w:r>
  </w:p>
  <w:p w14:paraId="4346229B" w14:textId="77777777" w:rsidR="00007A44" w:rsidRDefault="00007A44">
    <w:pPr>
      <w:pBdr>
        <w:top w:val="nil"/>
        <w:left w:val="nil"/>
        <w:bottom w:val="nil"/>
        <w:right w:val="nil"/>
        <w:between w:val="nil"/>
      </w:pBdr>
      <w:tabs>
        <w:tab w:val="center" w:pos="4680"/>
        <w:tab w:val="right" w:pos="9360"/>
      </w:tabs>
      <w:spacing w:after="0" w:line="240" w:lineRule="auto"/>
      <w:rPr>
        <w:color w:val="000000"/>
      </w:rPr>
    </w:pPr>
  </w:p>
  <w:p w14:paraId="74AA63E1" w14:textId="77777777" w:rsidR="00007A44" w:rsidRDefault="00007A4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6BC4" w14:textId="6445D898" w:rsidR="00007A44" w:rsidRDefault="001C6137">
    <w:pPr>
      <w:pBdr>
        <w:top w:val="nil"/>
        <w:left w:val="nil"/>
        <w:bottom w:val="nil"/>
        <w:right w:val="nil"/>
        <w:between w:val="nil"/>
      </w:pBdr>
      <w:tabs>
        <w:tab w:val="center" w:pos="4680"/>
        <w:tab w:val="right" w:pos="9360"/>
      </w:tabs>
      <w:spacing w:after="0" w:line="240" w:lineRule="auto"/>
      <w:jc w:val="center"/>
      <w:rPr>
        <w:b/>
        <w:color w:val="000000"/>
        <w:sz w:val="36"/>
        <w:szCs w:val="36"/>
      </w:rPr>
    </w:pPr>
    <w:r>
      <w:rPr>
        <w:b/>
        <w:color w:val="000000"/>
        <w:sz w:val="36"/>
        <w:szCs w:val="36"/>
      </w:rPr>
      <w:t>Virginia Beach Council of Civic Organizations</w:t>
    </w:r>
    <w:r>
      <w:rPr>
        <w:noProof/>
      </w:rPr>
      <w:drawing>
        <wp:anchor distT="0" distB="0" distL="114300" distR="114300" simplePos="0" relativeHeight="251656192" behindDoc="0" locked="0" layoutInCell="1" hidden="0" allowOverlap="1" wp14:anchorId="3BCC3C5C" wp14:editId="253460CD">
          <wp:simplePos x="0" y="0"/>
          <wp:positionH relativeFrom="column">
            <wp:posOffset>-619124</wp:posOffset>
          </wp:positionH>
          <wp:positionV relativeFrom="paragraph">
            <wp:posOffset>-123824</wp:posOffset>
          </wp:positionV>
          <wp:extent cx="1095375" cy="1040130"/>
          <wp:effectExtent l="0" t="0" r="0" b="0"/>
          <wp:wrapSquare wrapText="bothSides" distT="0" distB="0" distL="114300" distR="114300"/>
          <wp:docPr id="950375146"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1"/>
                  <a:srcRect/>
                  <a:stretch>
                    <a:fillRect/>
                  </a:stretch>
                </pic:blipFill>
                <pic:spPr>
                  <a:xfrm>
                    <a:off x="0" y="0"/>
                    <a:ext cx="1095375" cy="1040130"/>
                  </a:xfrm>
                  <a:prstGeom prst="rect">
                    <a:avLst/>
                  </a:prstGeom>
                  <a:ln/>
                </pic:spPr>
              </pic:pic>
            </a:graphicData>
          </a:graphic>
        </wp:anchor>
      </w:drawing>
    </w:r>
  </w:p>
  <w:p w14:paraId="110D0670" w14:textId="77777777" w:rsidR="00007A44"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t>Helping Civic Organizations Remain Educated for 66 years</w:t>
    </w:r>
  </w:p>
  <w:p w14:paraId="3BBCAE0F" w14:textId="77777777" w:rsidR="00007A44"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t>Post Office Box 9252</w:t>
    </w:r>
  </w:p>
  <w:p w14:paraId="506E5834" w14:textId="77777777" w:rsidR="00007A44"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t>Virginia Beach, VA 23450-9252</w:t>
    </w:r>
  </w:p>
  <w:p w14:paraId="343AAC2A" w14:textId="77777777" w:rsidR="00007A44" w:rsidRDefault="00007A44">
    <w:pPr>
      <w:pBdr>
        <w:top w:val="nil"/>
        <w:left w:val="nil"/>
        <w:bottom w:val="nil"/>
        <w:right w:val="nil"/>
        <w:between w:val="nil"/>
      </w:pBdr>
      <w:tabs>
        <w:tab w:val="center" w:pos="4680"/>
        <w:tab w:val="right" w:pos="9360"/>
      </w:tabs>
      <w:spacing w:after="0" w:line="240" w:lineRule="auto"/>
      <w:jc w:val="center"/>
      <w:rPr>
        <w:color w:val="0000FF"/>
        <w:u w:val="single"/>
      </w:rPr>
    </w:pPr>
    <w:hyperlink r:id="rId2">
      <w:r>
        <w:rPr>
          <w:color w:val="0000FF"/>
          <w:u w:val="single"/>
        </w:rPr>
        <w:t>www.vbcco.org</w:t>
      </w:r>
    </w:hyperlink>
  </w:p>
  <w:p w14:paraId="49EBA8F7" w14:textId="77777777" w:rsidR="00007A44" w:rsidRDefault="00007A4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AB720" w14:textId="394CCEC8" w:rsidR="00007A44" w:rsidRDefault="00000000">
    <w:pPr>
      <w:pBdr>
        <w:top w:val="nil"/>
        <w:left w:val="nil"/>
        <w:bottom w:val="nil"/>
        <w:right w:val="nil"/>
        <w:between w:val="nil"/>
      </w:pBdr>
      <w:tabs>
        <w:tab w:val="center" w:pos="4680"/>
        <w:tab w:val="right" w:pos="9360"/>
      </w:tabs>
      <w:spacing w:after="0" w:line="240" w:lineRule="auto"/>
      <w:jc w:val="center"/>
      <w:rPr>
        <w:b/>
        <w:color w:val="000000"/>
        <w:sz w:val="36"/>
        <w:szCs w:val="36"/>
      </w:rPr>
    </w:pPr>
    <w:sdt>
      <w:sdtPr>
        <w:rPr>
          <w:b/>
          <w:color w:val="000000"/>
          <w:sz w:val="36"/>
          <w:szCs w:val="36"/>
        </w:rPr>
        <w:id w:val="-1798373381"/>
        <w:docPartObj>
          <w:docPartGallery w:val="Watermarks"/>
          <w:docPartUnique/>
        </w:docPartObj>
      </w:sdtPr>
      <w:sdtContent>
        <w:r>
          <w:rPr>
            <w:b/>
            <w:noProof/>
            <w:color w:val="000000"/>
            <w:sz w:val="36"/>
            <w:szCs w:val="36"/>
          </w:rPr>
          <w:pict w14:anchorId="67A88A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3F77E1">
      <w:rPr>
        <w:noProof/>
      </w:rPr>
      <w:drawing>
        <wp:anchor distT="0" distB="0" distL="114300" distR="114300" simplePos="0" relativeHeight="251657216" behindDoc="0" locked="0" layoutInCell="1" hidden="0" allowOverlap="1" wp14:anchorId="657267F8" wp14:editId="15E8D20D">
          <wp:simplePos x="0" y="0"/>
          <wp:positionH relativeFrom="column">
            <wp:posOffset>-695325</wp:posOffset>
          </wp:positionH>
          <wp:positionV relativeFrom="paragraph">
            <wp:posOffset>-123825</wp:posOffset>
          </wp:positionV>
          <wp:extent cx="1228725" cy="1233170"/>
          <wp:effectExtent l="0" t="0" r="9525" b="5080"/>
          <wp:wrapSquare wrapText="bothSides" distT="0" distB="0" distL="114300" distR="114300"/>
          <wp:docPr id="950375144"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1"/>
                  <a:srcRect/>
                  <a:stretch>
                    <a:fillRect/>
                  </a:stretch>
                </pic:blipFill>
                <pic:spPr>
                  <a:xfrm>
                    <a:off x="0" y="0"/>
                    <a:ext cx="1228725" cy="1233170"/>
                  </a:xfrm>
                  <a:prstGeom prst="rect">
                    <a:avLst/>
                  </a:prstGeom>
                  <a:ln/>
                </pic:spPr>
              </pic:pic>
            </a:graphicData>
          </a:graphic>
          <wp14:sizeRelH relativeFrom="margin">
            <wp14:pctWidth>0</wp14:pctWidth>
          </wp14:sizeRelH>
          <wp14:sizeRelV relativeFrom="margin">
            <wp14:pctHeight>0</wp14:pctHeight>
          </wp14:sizeRelV>
        </wp:anchor>
      </w:drawing>
    </w:r>
    <w:r w:rsidR="003F77E1">
      <w:rPr>
        <w:b/>
        <w:color w:val="000000"/>
        <w:sz w:val="36"/>
        <w:szCs w:val="36"/>
      </w:rPr>
      <w:t>Virginia Beach Council of Civic Organizations</w:t>
    </w:r>
  </w:p>
  <w:p w14:paraId="52BFF3CE" w14:textId="1E1316F6" w:rsidR="00007A44"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t>Helping Civic Organizations Remain Educated for 6</w:t>
    </w:r>
    <w:r w:rsidR="0023221C">
      <w:rPr>
        <w:color w:val="000000"/>
      </w:rPr>
      <w:t>6</w:t>
    </w:r>
    <w:r>
      <w:rPr>
        <w:color w:val="000000"/>
      </w:rPr>
      <w:t xml:space="preserve"> years</w:t>
    </w:r>
  </w:p>
  <w:p w14:paraId="28F913FB" w14:textId="77777777" w:rsidR="00007A44"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t>Post Office Box 9252</w:t>
    </w:r>
  </w:p>
  <w:p w14:paraId="76805E78" w14:textId="77777777" w:rsidR="00007A44"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t>Virginia Beach, VA 23450-9252</w:t>
    </w:r>
  </w:p>
  <w:p w14:paraId="002948EF" w14:textId="0AAA0B19" w:rsidR="00007A44" w:rsidRDefault="00DF06CA" w:rsidP="00DF06CA">
    <w:pPr>
      <w:pBdr>
        <w:top w:val="nil"/>
        <w:left w:val="nil"/>
        <w:bottom w:val="nil"/>
        <w:right w:val="nil"/>
        <w:between w:val="nil"/>
      </w:pBdr>
      <w:tabs>
        <w:tab w:val="center" w:pos="4680"/>
        <w:tab w:val="right" w:pos="9360"/>
      </w:tabs>
      <w:spacing w:after="0" w:line="240" w:lineRule="auto"/>
      <w:jc w:val="center"/>
      <w:rPr>
        <w:color w:val="0000FF"/>
        <w:u w:val="single"/>
      </w:rPr>
    </w:pPr>
    <w:hyperlink r:id="rId2" w:history="1">
      <w:r w:rsidRPr="00D840F3">
        <w:rPr>
          <w:rStyle w:val="Hyperlink"/>
        </w:rPr>
        <w:t>www.vbcco.org</w:t>
      </w:r>
    </w:hyperlink>
  </w:p>
  <w:p w14:paraId="02130A94" w14:textId="77777777" w:rsidR="00DF06CA" w:rsidRDefault="00DF06CA">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07B5"/>
    <w:multiLevelType w:val="multilevel"/>
    <w:tmpl w:val="CB9236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D7671"/>
    <w:multiLevelType w:val="multilevel"/>
    <w:tmpl w:val="21A29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A3569"/>
    <w:multiLevelType w:val="multilevel"/>
    <w:tmpl w:val="5E2E7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AF07AD"/>
    <w:multiLevelType w:val="hybridMultilevel"/>
    <w:tmpl w:val="48568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A86063"/>
    <w:multiLevelType w:val="multilevel"/>
    <w:tmpl w:val="F3301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345295"/>
    <w:multiLevelType w:val="multilevel"/>
    <w:tmpl w:val="A4722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D36D92"/>
    <w:multiLevelType w:val="multilevel"/>
    <w:tmpl w:val="A9C68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242B83"/>
    <w:multiLevelType w:val="multilevel"/>
    <w:tmpl w:val="DFC66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A446DF"/>
    <w:multiLevelType w:val="multilevel"/>
    <w:tmpl w:val="E6A25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144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427EE5"/>
    <w:multiLevelType w:val="hybridMultilevel"/>
    <w:tmpl w:val="A8FE9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B57F2B"/>
    <w:multiLevelType w:val="multilevel"/>
    <w:tmpl w:val="D71A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007AD7"/>
    <w:multiLevelType w:val="hybridMultilevel"/>
    <w:tmpl w:val="86CCB5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31272AF"/>
    <w:multiLevelType w:val="multilevel"/>
    <w:tmpl w:val="F02A215A"/>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D04806"/>
    <w:multiLevelType w:val="multilevel"/>
    <w:tmpl w:val="A9D29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7A70F5"/>
    <w:multiLevelType w:val="multilevel"/>
    <w:tmpl w:val="4C60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FA374A"/>
    <w:multiLevelType w:val="multilevel"/>
    <w:tmpl w:val="8FB21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1D320F"/>
    <w:multiLevelType w:val="multilevel"/>
    <w:tmpl w:val="4E14E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3C1DDF"/>
    <w:multiLevelType w:val="multilevel"/>
    <w:tmpl w:val="5A40B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832B71"/>
    <w:multiLevelType w:val="multilevel"/>
    <w:tmpl w:val="A0C42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F15BC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1D93F33"/>
    <w:multiLevelType w:val="multilevel"/>
    <w:tmpl w:val="7ECA7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625C22"/>
    <w:multiLevelType w:val="hybridMultilevel"/>
    <w:tmpl w:val="86CCB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EC0309"/>
    <w:multiLevelType w:val="multilevel"/>
    <w:tmpl w:val="2242AD22"/>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420664A"/>
    <w:multiLevelType w:val="multilevel"/>
    <w:tmpl w:val="DB620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06295F"/>
    <w:multiLevelType w:val="multilevel"/>
    <w:tmpl w:val="921CD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12D01"/>
    <w:multiLevelType w:val="hybridMultilevel"/>
    <w:tmpl w:val="86CCB5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DA51C1A"/>
    <w:multiLevelType w:val="multilevel"/>
    <w:tmpl w:val="85F227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17157B8"/>
    <w:multiLevelType w:val="multilevel"/>
    <w:tmpl w:val="01521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1053F9"/>
    <w:multiLevelType w:val="multilevel"/>
    <w:tmpl w:val="A2285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6180452">
    <w:abstractNumId w:val="0"/>
  </w:num>
  <w:num w:numId="2" w16cid:durableId="1831172499">
    <w:abstractNumId w:val="12"/>
  </w:num>
  <w:num w:numId="3" w16cid:durableId="909727048">
    <w:abstractNumId w:val="22"/>
  </w:num>
  <w:num w:numId="4" w16cid:durableId="1724214973">
    <w:abstractNumId w:val="4"/>
  </w:num>
  <w:num w:numId="5" w16cid:durableId="55520196">
    <w:abstractNumId w:val="8"/>
  </w:num>
  <w:num w:numId="6" w16cid:durableId="506015855">
    <w:abstractNumId w:val="16"/>
  </w:num>
  <w:num w:numId="7" w16cid:durableId="268707628">
    <w:abstractNumId w:val="19"/>
  </w:num>
  <w:num w:numId="8" w16cid:durableId="1375159728">
    <w:abstractNumId w:val="26"/>
  </w:num>
  <w:num w:numId="9" w16cid:durableId="467434762">
    <w:abstractNumId w:val="18"/>
  </w:num>
  <w:num w:numId="10" w16cid:durableId="695078303">
    <w:abstractNumId w:val="17"/>
  </w:num>
  <w:num w:numId="11" w16cid:durableId="1011420177">
    <w:abstractNumId w:val="15"/>
  </w:num>
  <w:num w:numId="12" w16cid:durableId="417404856">
    <w:abstractNumId w:val="2"/>
  </w:num>
  <w:num w:numId="13" w16cid:durableId="1766880258">
    <w:abstractNumId w:val="5"/>
  </w:num>
  <w:num w:numId="14" w16cid:durableId="346519499">
    <w:abstractNumId w:val="14"/>
  </w:num>
  <w:num w:numId="15" w16cid:durableId="548493977">
    <w:abstractNumId w:val="1"/>
  </w:num>
  <w:num w:numId="16" w16cid:durableId="907961055">
    <w:abstractNumId w:val="9"/>
  </w:num>
  <w:num w:numId="17" w16cid:durableId="696925959">
    <w:abstractNumId w:val="3"/>
  </w:num>
  <w:num w:numId="18" w16cid:durableId="1608075210">
    <w:abstractNumId w:val="21"/>
  </w:num>
  <w:num w:numId="19" w16cid:durableId="1839344631">
    <w:abstractNumId w:val="11"/>
  </w:num>
  <w:num w:numId="20" w16cid:durableId="907761890">
    <w:abstractNumId w:val="25"/>
  </w:num>
  <w:num w:numId="21" w16cid:durableId="700667367">
    <w:abstractNumId w:val="28"/>
  </w:num>
  <w:num w:numId="22" w16cid:durableId="531655098">
    <w:abstractNumId w:val="23"/>
  </w:num>
  <w:num w:numId="23" w16cid:durableId="1797791406">
    <w:abstractNumId w:val="20"/>
  </w:num>
  <w:num w:numId="24" w16cid:durableId="246886273">
    <w:abstractNumId w:val="13"/>
  </w:num>
  <w:num w:numId="25" w16cid:durableId="2030181695">
    <w:abstractNumId w:val="24"/>
  </w:num>
  <w:num w:numId="26" w16cid:durableId="938023732">
    <w:abstractNumId w:val="7"/>
  </w:num>
  <w:num w:numId="27" w16cid:durableId="1847087131">
    <w:abstractNumId w:val="10"/>
  </w:num>
  <w:num w:numId="28" w16cid:durableId="1876694751">
    <w:abstractNumId w:val="27"/>
  </w:num>
  <w:num w:numId="29" w16cid:durableId="15540734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A44"/>
    <w:rsid w:val="00007A44"/>
    <w:rsid w:val="0001533B"/>
    <w:rsid w:val="0002618F"/>
    <w:rsid w:val="00070ED3"/>
    <w:rsid w:val="000A6755"/>
    <w:rsid w:val="000C6EC3"/>
    <w:rsid w:val="001156A4"/>
    <w:rsid w:val="00156327"/>
    <w:rsid w:val="0019295F"/>
    <w:rsid w:val="001C02CD"/>
    <w:rsid w:val="001C31C5"/>
    <w:rsid w:val="001C6137"/>
    <w:rsid w:val="001D104E"/>
    <w:rsid w:val="00221F2A"/>
    <w:rsid w:val="00223CA1"/>
    <w:rsid w:val="0023221C"/>
    <w:rsid w:val="002538BC"/>
    <w:rsid w:val="003529EE"/>
    <w:rsid w:val="003917CA"/>
    <w:rsid w:val="003F77E1"/>
    <w:rsid w:val="00432612"/>
    <w:rsid w:val="00433784"/>
    <w:rsid w:val="004559A9"/>
    <w:rsid w:val="004B27C5"/>
    <w:rsid w:val="00521524"/>
    <w:rsid w:val="00564EC4"/>
    <w:rsid w:val="005C717B"/>
    <w:rsid w:val="005E2F3E"/>
    <w:rsid w:val="00610635"/>
    <w:rsid w:val="00614979"/>
    <w:rsid w:val="006322E7"/>
    <w:rsid w:val="00671465"/>
    <w:rsid w:val="00690DE4"/>
    <w:rsid w:val="006A4028"/>
    <w:rsid w:val="006E78D1"/>
    <w:rsid w:val="00713D1E"/>
    <w:rsid w:val="00716B42"/>
    <w:rsid w:val="007507DC"/>
    <w:rsid w:val="00774474"/>
    <w:rsid w:val="007D3195"/>
    <w:rsid w:val="008409AF"/>
    <w:rsid w:val="008A30F3"/>
    <w:rsid w:val="008B5F40"/>
    <w:rsid w:val="008C205A"/>
    <w:rsid w:val="00905F22"/>
    <w:rsid w:val="00914B94"/>
    <w:rsid w:val="00932847"/>
    <w:rsid w:val="00935B9F"/>
    <w:rsid w:val="0097141B"/>
    <w:rsid w:val="009A65C1"/>
    <w:rsid w:val="009B6DA3"/>
    <w:rsid w:val="009D60E5"/>
    <w:rsid w:val="00A35813"/>
    <w:rsid w:val="00A65AFD"/>
    <w:rsid w:val="00AC14E6"/>
    <w:rsid w:val="00B05AA7"/>
    <w:rsid w:val="00B11A23"/>
    <w:rsid w:val="00B50AB1"/>
    <w:rsid w:val="00B71C4D"/>
    <w:rsid w:val="00B74AF9"/>
    <w:rsid w:val="00BD57E0"/>
    <w:rsid w:val="00BE29BF"/>
    <w:rsid w:val="00CD0066"/>
    <w:rsid w:val="00CF0F57"/>
    <w:rsid w:val="00CF54EA"/>
    <w:rsid w:val="00D44225"/>
    <w:rsid w:val="00DC596E"/>
    <w:rsid w:val="00DF06CA"/>
    <w:rsid w:val="00E36090"/>
    <w:rsid w:val="00E845D9"/>
    <w:rsid w:val="00EE40BE"/>
    <w:rsid w:val="00F0693B"/>
    <w:rsid w:val="00F27F9A"/>
    <w:rsid w:val="00F3793B"/>
    <w:rsid w:val="00F565C0"/>
    <w:rsid w:val="00F842C1"/>
    <w:rsid w:val="00F92F29"/>
    <w:rsid w:val="00FA1FA1"/>
    <w:rsid w:val="00FD7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4BB41"/>
  <w15:docId w15:val="{208995B3-5178-45B1-A4F6-6FC264248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color w:val="2F5496"/>
      <w:sz w:val="32"/>
      <w:szCs w:val="32"/>
    </w:rPr>
  </w:style>
  <w:style w:type="paragraph" w:styleId="Heading2">
    <w:name w:val="heading 2"/>
    <w:basedOn w:val="Normal"/>
    <w:next w:val="Normal"/>
    <w:link w:val="Heading2Char"/>
    <w:uiPriority w:val="9"/>
    <w:semiHidden/>
    <w:unhideWhenUsed/>
    <w:qFormat/>
    <w:pPr>
      <w:spacing w:after="150" w:line="240" w:lineRule="auto"/>
      <w:outlineLvl w:val="1"/>
    </w:pPr>
    <w:rPr>
      <w:rFonts w:ascii="Georgia" w:eastAsia="Georgia" w:hAnsi="Georgia" w:cs="Georgia"/>
      <w:color w:val="125EE0"/>
      <w:sz w:val="30"/>
      <w:szCs w:val="30"/>
    </w:rPr>
  </w:style>
  <w:style w:type="paragraph" w:styleId="Heading3">
    <w:name w:val="heading 3"/>
    <w:basedOn w:val="Normal"/>
    <w:next w:val="Normal"/>
    <w:link w:val="Heading3Char"/>
    <w:uiPriority w:val="9"/>
    <w:semiHidden/>
    <w:unhideWhenUsed/>
    <w:qFormat/>
    <w:pPr>
      <w:spacing w:after="150" w:line="240" w:lineRule="auto"/>
      <w:outlineLvl w:val="2"/>
    </w:pPr>
    <w:rPr>
      <w:rFonts w:ascii="Georgia" w:eastAsia="Georgia" w:hAnsi="Georgia" w:cs="Georgia"/>
      <w:color w:val="707070"/>
      <w:sz w:val="23"/>
      <w:szCs w:val="23"/>
    </w:rPr>
  </w:style>
  <w:style w:type="paragraph" w:styleId="Heading4">
    <w:name w:val="heading 4"/>
    <w:basedOn w:val="Normal"/>
    <w:next w:val="Normal"/>
    <w:link w:val="Heading4Char"/>
    <w:uiPriority w:val="9"/>
    <w:semiHidden/>
    <w:unhideWhenUsed/>
    <w:qFormat/>
    <w:pPr>
      <w:keepNext/>
      <w:keepLines/>
      <w:spacing w:before="40" w:after="0"/>
      <w:outlineLvl w:val="3"/>
    </w:pPr>
    <w:rPr>
      <w:i/>
      <w:color w:val="2F5496"/>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40" w:after="0"/>
      <w:outlineLvl w:val="5"/>
    </w:pPr>
    <w:rPr>
      <w:color w:val="1F38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631D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DBC"/>
  </w:style>
  <w:style w:type="paragraph" w:styleId="Footer">
    <w:name w:val="footer"/>
    <w:basedOn w:val="Normal"/>
    <w:link w:val="FooterChar"/>
    <w:uiPriority w:val="99"/>
    <w:unhideWhenUsed/>
    <w:rsid w:val="00631D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DBC"/>
  </w:style>
  <w:style w:type="paragraph" w:styleId="ListParagraph">
    <w:name w:val="List Paragraph"/>
    <w:basedOn w:val="Normal"/>
    <w:uiPriority w:val="34"/>
    <w:qFormat/>
    <w:rsid w:val="00631DBC"/>
    <w:pPr>
      <w:ind w:left="720"/>
      <w:contextualSpacing/>
    </w:pPr>
  </w:style>
  <w:style w:type="paragraph" w:customStyle="1" w:styleId="yiv4807686562msolistparagraph">
    <w:name w:val="yiv4807686562msolistparagraph"/>
    <w:basedOn w:val="Normal"/>
    <w:rsid w:val="00DD7D3D"/>
    <w:pPr>
      <w:spacing w:before="100" w:beforeAutospacing="1" w:after="100" w:afterAutospacing="1" w:line="240" w:lineRule="auto"/>
    </w:pPr>
  </w:style>
  <w:style w:type="character" w:customStyle="1" w:styleId="Heading2Char">
    <w:name w:val="Heading 2 Char"/>
    <w:basedOn w:val="DefaultParagraphFont"/>
    <w:link w:val="Heading2"/>
    <w:uiPriority w:val="9"/>
    <w:semiHidden/>
    <w:rsid w:val="00C40C44"/>
    <w:rPr>
      <w:rFonts w:ascii="Georgia" w:hAnsi="Georgia" w:cs="Calibri"/>
      <w:color w:val="125EE0"/>
      <w:sz w:val="30"/>
      <w:szCs w:val="30"/>
    </w:rPr>
  </w:style>
  <w:style w:type="character" w:customStyle="1" w:styleId="Heading3Char">
    <w:name w:val="Heading 3 Char"/>
    <w:basedOn w:val="DefaultParagraphFont"/>
    <w:link w:val="Heading3"/>
    <w:uiPriority w:val="9"/>
    <w:semiHidden/>
    <w:rsid w:val="00C40C44"/>
    <w:rPr>
      <w:rFonts w:ascii="Georgia" w:hAnsi="Georgia" w:cs="Calibri"/>
      <w:color w:val="707070"/>
      <w:sz w:val="23"/>
      <w:szCs w:val="23"/>
    </w:rPr>
  </w:style>
  <w:style w:type="paragraph" w:customStyle="1" w:styleId="m-676343221007706635msolistparagraph">
    <w:name w:val="m_-676343221007706635msolistparagraph"/>
    <w:basedOn w:val="Normal"/>
    <w:rsid w:val="008A453A"/>
    <w:pPr>
      <w:spacing w:before="100" w:beforeAutospacing="1" w:after="100" w:afterAutospacing="1" w:line="240" w:lineRule="auto"/>
    </w:pPr>
  </w:style>
  <w:style w:type="character" w:styleId="Hyperlink">
    <w:name w:val="Hyperlink"/>
    <w:basedOn w:val="DefaultParagraphFont"/>
    <w:uiPriority w:val="99"/>
    <w:unhideWhenUsed/>
    <w:rsid w:val="00BA72EA"/>
    <w:rPr>
      <w:color w:val="0000FF"/>
      <w:u w:val="single"/>
    </w:rPr>
  </w:style>
  <w:style w:type="character" w:styleId="UnresolvedMention">
    <w:name w:val="Unresolved Mention"/>
    <w:basedOn w:val="DefaultParagraphFont"/>
    <w:uiPriority w:val="99"/>
    <w:semiHidden/>
    <w:unhideWhenUsed/>
    <w:rsid w:val="00105603"/>
    <w:rPr>
      <w:color w:val="605E5C"/>
      <w:shd w:val="clear" w:color="auto" w:fill="E1DFDD"/>
    </w:rPr>
  </w:style>
  <w:style w:type="table" w:styleId="TableGrid">
    <w:name w:val="Table Grid"/>
    <w:basedOn w:val="TableNormal"/>
    <w:uiPriority w:val="39"/>
    <w:rsid w:val="00312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5562D8"/>
    <w:rPr>
      <w:rFonts w:asciiTheme="majorHAnsi" w:eastAsiaTheme="majorEastAsia" w:hAnsiTheme="majorHAnsi" w:cstheme="majorBidi"/>
      <w:i/>
      <w:iCs/>
      <w:color w:val="2F5496" w:themeColor="accent1" w:themeShade="BF"/>
    </w:rPr>
  </w:style>
  <w:style w:type="character" w:customStyle="1" w:styleId="Heading6Char">
    <w:name w:val="Heading 6 Char"/>
    <w:basedOn w:val="DefaultParagraphFont"/>
    <w:link w:val="Heading6"/>
    <w:uiPriority w:val="9"/>
    <w:semiHidden/>
    <w:rsid w:val="00A43B01"/>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8408D4"/>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VBCCOH1">
    <w:name w:val="VBCCO H1"/>
    <w:rsid w:val="00156327"/>
    <w:pPr>
      <w:spacing w:after="200" w:line="276" w:lineRule="auto"/>
    </w:pPr>
    <w:rPr>
      <w:rFonts w:eastAsiaTheme="minorEastAsia" w:cstheme="minorBidi"/>
      <w:b/>
      <w:sz w:val="28"/>
      <w:lang w:val="en-US"/>
    </w:rPr>
  </w:style>
  <w:style w:type="paragraph" w:customStyle="1" w:styleId="VBCCOBody">
    <w:name w:val="VBCCO Body"/>
    <w:rsid w:val="00156327"/>
    <w:pPr>
      <w:spacing w:after="200" w:line="276" w:lineRule="auto"/>
    </w:pPr>
    <w:rPr>
      <w:rFonts w:eastAsiaTheme="minorEastAsia" w:cstheme="minorBidi"/>
      <w:lang w:val="en-US"/>
    </w:rPr>
  </w:style>
  <w:style w:type="paragraph" w:customStyle="1" w:styleId="VBCCOH2">
    <w:name w:val="VBCCO H2"/>
    <w:rsid w:val="00156327"/>
    <w:pPr>
      <w:spacing w:after="200" w:line="276" w:lineRule="auto"/>
    </w:pPr>
    <w:rPr>
      <w:rFonts w:eastAsiaTheme="minorEastAsia" w:cstheme="minorBidi"/>
      <w:b/>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9849364">
      <w:bodyDiv w:val="1"/>
      <w:marLeft w:val="0"/>
      <w:marRight w:val="0"/>
      <w:marTop w:val="0"/>
      <w:marBottom w:val="0"/>
      <w:divBdr>
        <w:top w:val="none" w:sz="0" w:space="0" w:color="auto"/>
        <w:left w:val="none" w:sz="0" w:space="0" w:color="auto"/>
        <w:bottom w:val="none" w:sz="0" w:space="0" w:color="auto"/>
        <w:right w:val="none" w:sz="0" w:space="0" w:color="auto"/>
      </w:divBdr>
    </w:div>
    <w:div w:id="19170062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richmonder.org/it-might-be-richmonds-biggest-push-to-create-affordable-housing-but-many-residents-dont-even-know-it-exists/" TargetMode="External"/><Relationship Id="rId18" Type="http://schemas.openxmlformats.org/officeDocument/2006/relationships/hyperlink" Target="https://citizenportal.ai/articles/2599857/Virginia-Beach/Princess-Anne-County/Virginia/Virginia-Beach-launches-Attainable-Workforce-Housing-Performance-Grant-to-address-affordability-crisis" TargetMode="External"/><Relationship Id="rId26" Type="http://schemas.openxmlformats.org/officeDocument/2006/relationships/hyperlink" Target="https://virginiabeach.gov/connect/news/city-launches-new-program-to-promote-development-of-affordable-rental-housing" TargetMode="External"/><Relationship Id="rId39" Type="http://schemas.openxmlformats.org/officeDocument/2006/relationships/theme" Target="theme/theme1.xml"/><Relationship Id="rId21" Type="http://schemas.openxmlformats.org/officeDocument/2006/relationships/hyperlink" Target="https://www.whro.org/local-government/2025-02-07/virginia-beach-budget-shaping-up-to-close-deficit-while-not-raising-taxes"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citizenportal.ai/articles/2599857/Virginia-Beach/Princess-Anne-County/Virginia/Virginia-Beach-launches-Attainable-Workforce-Housing-Performance-Grant-to-address-affordability-crisis" TargetMode="External"/><Relationship Id="rId17" Type="http://schemas.openxmlformats.org/officeDocument/2006/relationships/hyperlink" Target="https://citizenportal.ai/articles/2599857/Virginia-Beach/Princess-Anne-County/Virginia/Virginia-Beach-launches-Attainable-Workforce-Housing-Performance-Grant-to-address-affordability-crisis" TargetMode="External"/><Relationship Id="rId25" Type="http://schemas.openxmlformats.org/officeDocument/2006/relationships/hyperlink" Target="https://www.whro.org/local-government/2025-02-07/virginia-beach-budget-shaping-up-to-close-deficit-while-not-raising-taxes"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ichmonder.org/it-might-be-richmonds-biggest-push-to-create-affordable-housing-but-many-residents-dont-even-know-it-exists/" TargetMode="External"/><Relationship Id="rId20" Type="http://schemas.openxmlformats.org/officeDocument/2006/relationships/hyperlink" Target="https://virginiabeach.gov/connect/blog/seven-key-takeaways-from-the-real-estate-assessors-annual-report" TargetMode="External"/><Relationship Id="rId29" Type="http://schemas.openxmlformats.org/officeDocument/2006/relationships/hyperlink" Target="https://www.richmonder.org/it-might-be-richmonds-biggest-push-to-create-affordable-housing-but-many-residents-dont-even-know-it-exis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rginiabeach.gov/connect/news/city-launches-new-program-to-promote-development-of-affordable-rental-housing" TargetMode="External"/><Relationship Id="rId24" Type="http://schemas.openxmlformats.org/officeDocument/2006/relationships/hyperlink" Target="https://virginiabeach.gov/connect/blog/seven-key-takeaways-from-the-real-estate-assessors-annual-report"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richmonder.org/it-might-be-richmonds-biggest-push-to-create-affordable-housing-but-many-residents-dont-even-know-it-exists/" TargetMode="External"/><Relationship Id="rId23" Type="http://schemas.openxmlformats.org/officeDocument/2006/relationships/hyperlink" Target="https://citizenportal.ai/articles/2599857/Virginia-Beach/Princess-Anne-County/Virginia/Virginia-Beach-launches-Attainable-Workforce-Housing-Performance-Grant-to-address-affordability-crisis" TargetMode="External"/><Relationship Id="rId28" Type="http://schemas.openxmlformats.org/officeDocument/2006/relationships/hyperlink" Target="https://citizenportal.ai/articles/2599857/Virginia-Beach/Princess-Anne-County/Virginia/Virginia-Beach-launches-Attainable-Workforce-Housing-Performance-Grant-to-address-affordability-crisis" TargetMode="External"/><Relationship Id="rId36" Type="http://schemas.openxmlformats.org/officeDocument/2006/relationships/header" Target="header3.xml"/><Relationship Id="rId10" Type="http://schemas.openxmlformats.org/officeDocument/2006/relationships/hyperlink" Target="https://virginiabeach.gov/connect/news/city-launches-new-program-to-promote-development-of-affordable-rental-housing" TargetMode="External"/><Relationship Id="rId19" Type="http://schemas.openxmlformats.org/officeDocument/2006/relationships/hyperlink" Target="https://virginiabeach.gov/connect/news/city-launches-new-program-to-promote-development-of-affordable-rental-housing" TargetMode="External"/><Relationship Id="rId31" Type="http://schemas.openxmlformats.org/officeDocument/2006/relationships/hyperlink" Target="https://citizenportal.ai/articles/2599857/Virginia-Beach/Princess-Anne-County/Virginia/Virginia-Beach-launches-Attainable-Workforce-Housing-Performance-Grant-to-address-affordability-crisis" TargetMode="External"/><Relationship Id="rId4" Type="http://schemas.openxmlformats.org/officeDocument/2006/relationships/settings" Target="settings.xml"/><Relationship Id="rId9" Type="http://schemas.openxmlformats.org/officeDocument/2006/relationships/hyperlink" Target="https://virginiabeach.gov/connect/news/city-launches-new-program-to-promote-development-of-affordable-rental-housing" TargetMode="External"/><Relationship Id="rId14" Type="http://schemas.openxmlformats.org/officeDocument/2006/relationships/hyperlink" Target="https://www.richmonder.org/it-might-be-richmonds-biggest-push-to-create-affordable-housing-but-many-residents-dont-even-know-it-exists/" TargetMode="External"/><Relationship Id="rId22" Type="http://schemas.openxmlformats.org/officeDocument/2006/relationships/hyperlink" Target="https://www.richmonder.org/it-might-be-richmonds-biggest-push-to-create-affordable-housing-but-many-residents-dont-even-know-it-exists/" TargetMode="External"/><Relationship Id="rId27" Type="http://schemas.openxmlformats.org/officeDocument/2006/relationships/hyperlink" Target="https://citizenportal.ai/articles/2599857/Virginia-Beach/Princess-Anne-County/Virginia/Virginia-Beach-launches-Attainable-Workforce-Housing-Performance-Grant-to-address-affordability-crisis" TargetMode="External"/><Relationship Id="rId30" Type="http://schemas.openxmlformats.org/officeDocument/2006/relationships/hyperlink" Target="https://www.richmonder.org/it-might-be-richmonds-biggest-push-to-create-affordable-housing-but-many-residents-dont-even-know-it-exists/" TargetMode="External"/><Relationship Id="rId35" Type="http://schemas.openxmlformats.org/officeDocument/2006/relationships/footer" Target="footer2.xml"/><Relationship Id="rId8" Type="http://schemas.openxmlformats.org/officeDocument/2006/relationships/hyperlink" Target="https://virginiabeach.gov/connect/news/city-launches-new-program-to-promote-development-of-affordable-rental-housing"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hyperlink" Target="http://www.vbcco.org"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www.vbcco.org"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8ZBkcP2hEQvESdzWqEu0HeoGmw==">CgMxLjA4AHIhMWVlU1ZYRUFFX056UHNQVEJ3bjBlMm9Ya1lFNDRNelA0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6</Pages>
  <Words>3798</Words>
  <Characters>21654</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Computer Networks, Inc.</Company>
  <LinksUpToDate>false</LinksUpToDate>
  <CharactersWithSpaces>25402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R. “Rick” Boyles</dc:creator>
  <cp:lastModifiedBy>James R. “Rick” Boyles</cp:lastModifiedBy>
  <cp:revision>6</cp:revision>
  <cp:lastPrinted>2025-10-13T00:34:00Z</cp:lastPrinted>
  <dcterms:created xsi:type="dcterms:W3CDTF">2025-10-12T17:33:00Z</dcterms:created>
  <dcterms:modified xsi:type="dcterms:W3CDTF">2025-10-13T00:53:00Z</dcterms:modified>
</cp:coreProperties>
</file>