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A8D4" w14:textId="61615441" w:rsidR="00B50AB1" w:rsidRDefault="00D44225" w:rsidP="008A30F3">
      <w:pPr>
        <w:jc w:val="center"/>
        <w:rPr>
          <w:b/>
          <w:bCs/>
          <w:sz w:val="36"/>
          <w:szCs w:val="36"/>
          <w:lang w:val="en-US"/>
        </w:rPr>
      </w:pPr>
      <w:r w:rsidRPr="008A30F3">
        <w:rPr>
          <w:noProof/>
          <w:sz w:val="36"/>
          <w:szCs w:val="36"/>
          <w:lang w:val="en-US"/>
        </w:rPr>
        <mc:AlternateContent>
          <mc:Choice Requires="wps">
            <w:drawing>
              <wp:inline distT="0" distB="0" distL="0" distR="0" wp14:anchorId="4B56B11F" wp14:editId="1652FAFD">
                <wp:extent cx="304800" cy="304800"/>
                <wp:effectExtent l="0" t="0" r="0" b="0"/>
                <wp:docPr id="580085390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885732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8A30F3">
        <w:rPr>
          <w:noProof/>
          <w:sz w:val="36"/>
          <w:szCs w:val="36"/>
        </w:rPr>
        <mc:AlternateContent>
          <mc:Choice Requires="wps">
            <w:drawing>
              <wp:inline distT="0" distB="0" distL="0" distR="0" wp14:anchorId="6C4FD7E4" wp14:editId="48987B97">
                <wp:extent cx="304800" cy="304800"/>
                <wp:effectExtent l="0" t="0" r="0" b="0"/>
                <wp:docPr id="1006455170" name="Rectangle 3" descr="Housing Matters: City Launches Program to… | City of Virginia B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1E238F" id="Rectangle 3" o:spid="_x0000_s1026" alt="Housing Matters: City Launches Program to… | City of Virginia Beach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50AB1" w:rsidRPr="00B50AB1">
        <w:rPr>
          <w:b/>
          <w:bCs/>
          <w:sz w:val="36"/>
          <w:szCs w:val="36"/>
          <w:lang w:val="en-US"/>
        </w:rPr>
        <w:t>Executive Summary</w:t>
      </w:r>
    </w:p>
    <w:p w14:paraId="10BC6370" w14:textId="21D94633" w:rsidR="008A30F3" w:rsidRPr="00B50AB1" w:rsidRDefault="008A30F3" w:rsidP="008A30F3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Potential 250 units apartment scenario using a </w:t>
      </w:r>
      <w:r w:rsidR="00CD0066">
        <w:rPr>
          <w:b/>
          <w:bCs/>
          <w:sz w:val="24"/>
          <w:szCs w:val="24"/>
          <w:lang w:val="en-US"/>
        </w:rPr>
        <w:t>best-case</w:t>
      </w:r>
      <w:r>
        <w:rPr>
          <w:b/>
          <w:bCs/>
          <w:sz w:val="24"/>
          <w:szCs w:val="24"/>
          <w:lang w:val="en-US"/>
        </w:rPr>
        <w:t xml:space="preserve"> analysis that is most favorable to a developer under the Attainable Workforce Housing Performance Grant</w:t>
      </w:r>
    </w:p>
    <w:p w14:paraId="3476A462" w14:textId="7F3FFF75" w:rsidR="00B50AB1" w:rsidRPr="00B50AB1" w:rsidRDefault="00B50AB1" w:rsidP="00B50AB1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6B23587" wp14:editId="65DAD443">
            <wp:simplePos x="0" y="0"/>
            <wp:positionH relativeFrom="column">
              <wp:posOffset>2714625</wp:posOffset>
            </wp:positionH>
            <wp:positionV relativeFrom="paragraph">
              <wp:posOffset>10795</wp:posOffset>
            </wp:positionV>
            <wp:extent cx="3593052" cy="2209800"/>
            <wp:effectExtent l="0" t="0" r="7620" b="0"/>
            <wp:wrapSquare wrapText="bothSides"/>
            <wp:docPr id="13224322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052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0AB1">
        <w:rPr>
          <w:i/>
          <w:iCs/>
          <w:lang w:val="en-US"/>
        </w:rPr>
        <w:t>A new 250-unit apartment community in Virginia Beach exemplifies the type of development targeted by the Attainable Workforce Housing Performance Grant (AWHP) program.</w:t>
      </w:r>
      <w:r w:rsidRPr="00B50AB1">
        <w:rPr>
          <w:lang w:val="en-US"/>
        </w:rPr>
        <w:t xml:space="preserve"> This memo presents a financial scenario analyzing </w:t>
      </w:r>
      <w:r w:rsidRPr="00B50AB1">
        <w:rPr>
          <w:b/>
          <w:bCs/>
          <w:lang w:val="en-US"/>
        </w:rPr>
        <w:t>the property tax impacts</w:t>
      </w:r>
      <w:r w:rsidRPr="00B50AB1">
        <w:rPr>
          <w:lang w:val="en-US"/>
        </w:rPr>
        <w:t xml:space="preserve"> of such a 250-unit “attainable” workforce housing project under the AWHP grant. The analysis assumes a mix of affordable units optimized to </w:t>
      </w:r>
      <w:r w:rsidRPr="00B50AB1">
        <w:rPr>
          <w:b/>
          <w:bCs/>
          <w:lang w:val="en-US"/>
        </w:rPr>
        <w:t>maximize the developer’s tax benefit</w:t>
      </w:r>
      <w:r w:rsidRPr="00B50AB1">
        <w:rPr>
          <w:lang w:val="en-US"/>
        </w:rPr>
        <w:t xml:space="preserve"> under the program’s incentives. Key findings are summarized below:</w:t>
      </w:r>
    </w:p>
    <w:p w14:paraId="468D1580" w14:textId="77777777" w:rsidR="00B50AB1" w:rsidRPr="00B50AB1" w:rsidRDefault="00B50AB1" w:rsidP="00B50AB1">
      <w:pPr>
        <w:numPr>
          <w:ilvl w:val="0"/>
          <w:numId w:val="24"/>
        </w:numPr>
        <w:rPr>
          <w:lang w:val="en-US"/>
        </w:rPr>
      </w:pPr>
      <w:r w:rsidRPr="00B50AB1">
        <w:rPr>
          <w:b/>
          <w:bCs/>
          <w:lang w:val="en-US"/>
        </w:rPr>
        <w:t>Project Assessed Value:</w:t>
      </w:r>
      <w:r w:rsidRPr="00B50AB1">
        <w:rPr>
          <w:lang w:val="en-US"/>
        </w:rPr>
        <w:t xml:space="preserve"> Based on comparable new multifamily projects, we assume an assessed value of roughly </w:t>
      </w:r>
      <w:r w:rsidRPr="00B50AB1">
        <w:rPr>
          <w:b/>
          <w:bCs/>
          <w:lang w:val="en-US"/>
        </w:rPr>
        <w:t>$220,000 per apartment unit</w:t>
      </w:r>
      <w:r w:rsidRPr="00B50AB1">
        <w:rPr>
          <w:lang w:val="en-US"/>
        </w:rPr>
        <w:t>, or about $55 million total post-construction value for 250 units¹. (For context, a Virginia Beach example projected ~400 units to be assessed at $88.3 million¹ – roughly $220k per unit, in line with our estimate.)</w:t>
      </w:r>
    </w:p>
    <w:p w14:paraId="2D7E976F" w14:textId="77777777" w:rsidR="00B50AB1" w:rsidRPr="00B50AB1" w:rsidRDefault="00B50AB1" w:rsidP="00B50AB1">
      <w:pPr>
        <w:numPr>
          <w:ilvl w:val="0"/>
          <w:numId w:val="24"/>
        </w:numPr>
        <w:rPr>
          <w:lang w:val="en-US"/>
        </w:rPr>
      </w:pPr>
      <w:r w:rsidRPr="00B50AB1">
        <w:rPr>
          <w:b/>
          <w:bCs/>
          <w:lang w:val="en-US"/>
        </w:rPr>
        <w:t>Real Estate Tax Rate (2025):</w:t>
      </w:r>
      <w:r w:rsidRPr="00B50AB1">
        <w:rPr>
          <w:lang w:val="en-US"/>
        </w:rPr>
        <w:t xml:space="preserve"> Virginia Beach’s real estate tax is </w:t>
      </w:r>
      <w:r w:rsidRPr="00B50AB1">
        <w:rPr>
          <w:b/>
          <w:bCs/>
          <w:lang w:val="en-US"/>
        </w:rPr>
        <w:t>$0.97 per $100</w:t>
      </w:r>
      <w:r w:rsidRPr="00B50AB1">
        <w:rPr>
          <w:lang w:val="en-US"/>
        </w:rPr>
        <w:t xml:space="preserve"> of assessed value². At this rate, a $55 million development would generate about </w:t>
      </w:r>
      <w:r w:rsidRPr="00B50AB1">
        <w:rPr>
          <w:b/>
          <w:bCs/>
          <w:lang w:val="en-US"/>
        </w:rPr>
        <w:t>$534,000 in annual property taxes</w:t>
      </w:r>
      <w:r w:rsidRPr="00B50AB1">
        <w:rPr>
          <w:lang w:val="en-US"/>
        </w:rPr>
        <w:t xml:space="preserve"> at full assessment.</w:t>
      </w:r>
    </w:p>
    <w:p w14:paraId="6C843F2F" w14:textId="77777777" w:rsidR="00B50AB1" w:rsidRPr="00B50AB1" w:rsidRDefault="00B50AB1" w:rsidP="00B50AB1">
      <w:pPr>
        <w:numPr>
          <w:ilvl w:val="0"/>
          <w:numId w:val="24"/>
        </w:numPr>
        <w:rPr>
          <w:lang w:val="en-US"/>
        </w:rPr>
      </w:pPr>
      <w:r w:rsidRPr="00B50AB1">
        <w:rPr>
          <w:b/>
          <w:bCs/>
          <w:lang w:val="en-US"/>
        </w:rPr>
        <w:t>AWHP Grant Incentive:</w:t>
      </w:r>
      <w:r w:rsidRPr="00B50AB1">
        <w:rPr>
          <w:lang w:val="en-US"/>
        </w:rPr>
        <w:t xml:space="preserve"> By dedicating a substantial portion of units to affordable rents, the developer can qualify for an annual performance grant </w:t>
      </w:r>
      <w:r w:rsidRPr="00B50AB1">
        <w:rPr>
          <w:b/>
          <w:bCs/>
          <w:lang w:val="en-US"/>
        </w:rPr>
        <w:t>rebating up to 100% of the project’s new property taxes</w:t>
      </w:r>
      <w:r w:rsidRPr="00B50AB1">
        <w:rPr>
          <w:lang w:val="en-US"/>
        </w:rPr>
        <w:t xml:space="preserve">³. In our optimized scenario, </w:t>
      </w:r>
      <w:r w:rsidRPr="00B50AB1">
        <w:rPr>
          <w:b/>
          <w:bCs/>
          <w:lang w:val="en-US"/>
        </w:rPr>
        <w:t>50% of units are kept affordable (≤80% AMI), including 20% of units at deeply affordable rents (≤50% AMI)</w:t>
      </w:r>
      <w:r w:rsidRPr="00B50AB1">
        <w:rPr>
          <w:lang w:val="en-US"/>
        </w:rPr>
        <w:t xml:space="preserve"> – this mix meets the program’s highest incentive thresholds³. As a result, essentially </w:t>
      </w:r>
      <w:r w:rsidRPr="00B50AB1">
        <w:rPr>
          <w:b/>
          <w:bCs/>
          <w:lang w:val="en-US"/>
        </w:rPr>
        <w:t>all incremental real estate taxes from the new development are returned to the developer</w:t>
      </w:r>
      <w:r w:rsidRPr="00B50AB1">
        <w:rPr>
          <w:lang w:val="en-US"/>
        </w:rPr>
        <w:t xml:space="preserve"> each year as a grant.</w:t>
      </w:r>
    </w:p>
    <w:p w14:paraId="2878E151" w14:textId="77777777" w:rsidR="00B50AB1" w:rsidRPr="00B50AB1" w:rsidRDefault="00B50AB1" w:rsidP="00B50AB1">
      <w:pPr>
        <w:numPr>
          <w:ilvl w:val="0"/>
          <w:numId w:val="24"/>
        </w:numPr>
        <w:rPr>
          <w:lang w:val="en-US"/>
        </w:rPr>
      </w:pPr>
      <w:r w:rsidRPr="00B50AB1">
        <w:rPr>
          <w:b/>
          <w:bCs/>
          <w:lang w:val="en-US"/>
        </w:rPr>
        <w:t>Foregone Tax Revenue:</w:t>
      </w:r>
      <w:r w:rsidRPr="00B50AB1">
        <w:rPr>
          <w:lang w:val="en-US"/>
        </w:rPr>
        <w:t xml:space="preserve"> Under this max-incentive scenario, the City of Virginia Beach </w:t>
      </w:r>
      <w:r w:rsidRPr="00B50AB1">
        <w:rPr>
          <w:b/>
          <w:bCs/>
          <w:lang w:val="en-US"/>
        </w:rPr>
        <w:t>forgoes approximately $510,000 in property tax revenue in the first year</w:t>
      </w:r>
      <w:r w:rsidRPr="00B50AB1">
        <w:rPr>
          <w:lang w:val="en-US"/>
        </w:rPr>
        <w:t xml:space="preserve"> (this is the “incremental” tax above the pre-development land value)¹. Over a 15-year grant period, the </w:t>
      </w:r>
      <w:r w:rsidRPr="00B50AB1">
        <w:rPr>
          <w:b/>
          <w:bCs/>
          <w:lang w:val="en-US"/>
        </w:rPr>
        <w:t>cumulative taxes not collected</w:t>
      </w:r>
      <w:r w:rsidRPr="00B50AB1">
        <w:rPr>
          <w:lang w:val="en-US"/>
        </w:rPr>
        <w:t xml:space="preserve"> would be on the order of </w:t>
      </w:r>
      <w:r w:rsidRPr="00B50AB1">
        <w:rPr>
          <w:b/>
          <w:bCs/>
          <w:lang w:val="en-US"/>
        </w:rPr>
        <w:t>$9–10 million</w:t>
      </w:r>
      <w:r w:rsidRPr="00B50AB1">
        <w:rPr>
          <w:lang w:val="en-US"/>
        </w:rPr>
        <w:t xml:space="preserve"> (assuming modest 3% annual assessment growth)¹. If the grant is extended to the full 30 years permitted, the </w:t>
      </w:r>
      <w:r w:rsidRPr="00B50AB1">
        <w:rPr>
          <w:b/>
          <w:bCs/>
          <w:lang w:val="en-US"/>
        </w:rPr>
        <w:t>30-year tax revenue foregone</w:t>
      </w:r>
      <w:r w:rsidRPr="00B50AB1">
        <w:rPr>
          <w:lang w:val="en-US"/>
        </w:rPr>
        <w:t xml:space="preserve"> is estimated around </w:t>
      </w:r>
      <w:r w:rsidRPr="00B50AB1">
        <w:rPr>
          <w:b/>
          <w:bCs/>
          <w:lang w:val="en-US"/>
        </w:rPr>
        <w:t>$24 million</w:t>
      </w:r>
      <w:r w:rsidRPr="00B50AB1">
        <w:rPr>
          <w:lang w:val="en-US"/>
        </w:rPr>
        <w:t xml:space="preserve"> in nominal terms. </w:t>
      </w:r>
      <w:r w:rsidRPr="00B50AB1">
        <w:rPr>
          <w:i/>
          <w:iCs/>
          <w:lang w:val="en-US"/>
        </w:rPr>
        <w:t xml:space="preserve">(Even with no assessment growth, </w:t>
      </w:r>
      <w:r w:rsidRPr="00B50AB1">
        <w:rPr>
          <w:i/>
          <w:iCs/>
          <w:lang w:val="en-US"/>
        </w:rPr>
        <w:lastRenderedPageBreak/>
        <w:t>the city would not collect about $7.7 million and $15.4 million over 15 and 30 years, respectively.)</w:t>
      </w:r>
    </w:p>
    <w:p w14:paraId="4068A1FD" w14:textId="77777777" w:rsidR="00B50AB1" w:rsidRPr="00B50AB1" w:rsidRDefault="00B50AB1" w:rsidP="00B50AB1">
      <w:pPr>
        <w:numPr>
          <w:ilvl w:val="0"/>
          <w:numId w:val="24"/>
        </w:numPr>
        <w:rPr>
          <w:lang w:val="en-US"/>
        </w:rPr>
      </w:pPr>
      <w:r w:rsidRPr="00B50AB1">
        <w:rPr>
          <w:b/>
          <w:bCs/>
          <w:lang w:val="en-US"/>
        </w:rPr>
        <w:t>Base vs. Incremental Taxes:</w:t>
      </w:r>
      <w:r w:rsidRPr="00B50AB1">
        <w:rPr>
          <w:lang w:val="en-US"/>
        </w:rPr>
        <w:t xml:space="preserve"> It’s important to note the city continues to collect baseline taxes on the land’s pre-development value (roughly $24k/year in this model), but </w:t>
      </w:r>
      <w:r w:rsidRPr="00B50AB1">
        <w:rPr>
          <w:b/>
          <w:bCs/>
          <w:lang w:val="en-US"/>
        </w:rPr>
        <w:t>nearly all new tax revenue from the improvements is offset by the grant</w:t>
      </w:r>
      <w:r w:rsidRPr="00B50AB1">
        <w:rPr>
          <w:lang w:val="en-US"/>
        </w:rPr>
        <w:t xml:space="preserve">¹. In effect, the development’s </w:t>
      </w:r>
      <w:r w:rsidRPr="00B50AB1">
        <w:rPr>
          <w:b/>
          <w:bCs/>
          <w:lang w:val="en-US"/>
        </w:rPr>
        <w:t>net new contribution to the tax base is near-zero</w:t>
      </w:r>
      <w:r w:rsidRPr="00B50AB1">
        <w:rPr>
          <w:lang w:val="en-US"/>
        </w:rPr>
        <w:t xml:space="preserve"> during the incentive period, under the optimized affordable housing mix.</w:t>
      </w:r>
    </w:p>
    <w:p w14:paraId="091B3E48" w14:textId="77777777" w:rsidR="00B50AB1" w:rsidRPr="00B50AB1" w:rsidRDefault="00B50AB1" w:rsidP="00B50AB1">
      <w:pPr>
        <w:rPr>
          <w:lang w:val="en-US"/>
        </w:rPr>
      </w:pPr>
      <w:r w:rsidRPr="00B50AB1">
        <w:rPr>
          <w:lang w:val="en-US"/>
        </w:rPr>
        <w:t xml:space="preserve">In summary, by </w:t>
      </w:r>
      <w:r w:rsidRPr="00B50AB1">
        <w:rPr>
          <w:b/>
          <w:bCs/>
          <w:lang w:val="en-US"/>
        </w:rPr>
        <w:t>maximizing the affordable unit mix</w:t>
      </w:r>
      <w:r w:rsidRPr="00B50AB1">
        <w:rPr>
          <w:lang w:val="en-US"/>
        </w:rPr>
        <w:t xml:space="preserve"> to meet AWHP program criteria, a developer can legally achieve a 100% rebate of property taxes for up to 30 years. This yields a substantial financial benefit to the project, while the City effectively sacrifices the new property tax revenue in exchange for the creation of long-term affordable housing. The following sections detail the financial impact model, discuss policy implications for the City’s budget and housing goals, and provide recommendations on balancing these considerations.</w:t>
      </w:r>
    </w:p>
    <w:p w14:paraId="7530FBB0" w14:textId="77777777" w:rsidR="00B50AB1" w:rsidRPr="00B50AB1" w:rsidRDefault="00000000" w:rsidP="00B50AB1">
      <w:pPr>
        <w:rPr>
          <w:lang w:val="en-US"/>
        </w:rPr>
      </w:pPr>
      <w:r>
        <w:rPr>
          <w:lang w:val="en-US"/>
        </w:rPr>
        <w:pict w14:anchorId="0E22AD6C">
          <v:rect id="_x0000_i1025" style="width:0;height:1.5pt" o:hralign="center" o:hrstd="t" o:hr="t" fillcolor="#a0a0a0" stroked="f"/>
        </w:pict>
      </w:r>
    </w:p>
    <w:p w14:paraId="73347D3B" w14:textId="77777777" w:rsidR="00B50AB1" w:rsidRPr="00B50AB1" w:rsidRDefault="00B50AB1" w:rsidP="00B50AB1">
      <w:pPr>
        <w:rPr>
          <w:b/>
          <w:bCs/>
          <w:lang w:val="en-US"/>
        </w:rPr>
      </w:pPr>
      <w:r w:rsidRPr="00B50AB1">
        <w:rPr>
          <w:b/>
          <w:bCs/>
          <w:lang w:val="en-US"/>
        </w:rPr>
        <w:t>Financial Impact Model</w:t>
      </w:r>
    </w:p>
    <w:p w14:paraId="3FB528A9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Assumptions &amp; Development Profile:</w:t>
      </w:r>
      <w:r w:rsidRPr="00B50AB1">
        <w:rPr>
          <w:lang w:val="en-US"/>
        </w:rPr>
        <w:t xml:space="preserve"> The scenario models a </w:t>
      </w:r>
      <w:r w:rsidRPr="00B50AB1">
        <w:rPr>
          <w:b/>
          <w:bCs/>
          <w:lang w:val="en-US"/>
        </w:rPr>
        <w:t>250-unit multifamily rental development in Virginia Beach</w:t>
      </w:r>
      <w:r w:rsidRPr="00B50AB1">
        <w:rPr>
          <w:lang w:val="en-US"/>
        </w:rPr>
        <w:t xml:space="preserve"> completed in 2025. We assume the project is a mid-rise “workforce housing” apartment complex. Drawing on comparable U.S. city data and local projections, we estimate a </w:t>
      </w:r>
      <w:r w:rsidRPr="00B50AB1">
        <w:rPr>
          <w:b/>
          <w:bCs/>
          <w:lang w:val="en-US"/>
        </w:rPr>
        <w:t>post-construction assessed value of approximately $55 million</w:t>
      </w:r>
      <w:r w:rsidRPr="00B50AB1">
        <w:rPr>
          <w:lang w:val="en-US"/>
        </w:rPr>
        <w:t xml:space="preserve"> (e.g. 250 units × ~$220k each)¹. This valuation is consistent with new construction of this scale; for instance, a recent city analysis assumed 400 units of affordable apartments would be valued at ~$88.3 million¹. The </w:t>
      </w:r>
      <w:r w:rsidRPr="00B50AB1">
        <w:rPr>
          <w:b/>
          <w:bCs/>
          <w:lang w:val="en-US"/>
        </w:rPr>
        <w:t>FY2025 real estate tax rate</w:t>
      </w:r>
      <w:r w:rsidRPr="00B50AB1">
        <w:rPr>
          <w:lang w:val="en-US"/>
        </w:rPr>
        <w:t xml:space="preserve"> is </w:t>
      </w:r>
      <w:r w:rsidRPr="00B50AB1">
        <w:rPr>
          <w:b/>
          <w:bCs/>
          <w:lang w:val="en-US"/>
        </w:rPr>
        <w:t>$0.97 per $100</w:t>
      </w:r>
      <w:r w:rsidRPr="00B50AB1">
        <w:rPr>
          <w:lang w:val="en-US"/>
        </w:rPr>
        <w:t xml:space="preserve"> of assessed value², meaning </w:t>
      </w:r>
      <w:r w:rsidRPr="00B50AB1">
        <w:rPr>
          <w:b/>
          <w:bCs/>
          <w:lang w:val="en-US"/>
        </w:rPr>
        <w:t>each $1 million of value generates $9,700 in city taxes annually</w:t>
      </w:r>
      <w:r w:rsidRPr="00B50AB1">
        <w:rPr>
          <w:lang w:val="en-US"/>
        </w:rPr>
        <w:t>. All units are assumed to be taxable (no separate abatements beyond the AWHP grant).</w:t>
      </w:r>
    </w:p>
    <w:p w14:paraId="23E5A859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Affordability Mix for Maximum Incentive:</w:t>
      </w:r>
      <w:r w:rsidRPr="00B50AB1">
        <w:rPr>
          <w:lang w:val="en-US"/>
        </w:rPr>
        <w:t xml:space="preserve"> To </w:t>
      </w:r>
      <w:r w:rsidRPr="00B50AB1">
        <w:rPr>
          <w:b/>
          <w:bCs/>
          <w:lang w:val="en-US"/>
        </w:rPr>
        <w:t>maximize the AWHP grant</w:t>
      </w:r>
      <w:r w:rsidRPr="00B50AB1">
        <w:rPr>
          <w:lang w:val="en-US"/>
        </w:rPr>
        <w:t xml:space="preserve">, the developer opts to make </w:t>
      </w:r>
      <w:r w:rsidRPr="00B50AB1">
        <w:rPr>
          <w:b/>
          <w:bCs/>
          <w:lang w:val="en-US"/>
        </w:rPr>
        <w:t>half of the apartments (125 units) affordable to households at or below 80% AMI</w:t>
      </w:r>
      <w:r w:rsidRPr="00B50AB1">
        <w:rPr>
          <w:lang w:val="en-US"/>
        </w:rPr>
        <w:t xml:space="preserve">. Within that affordable set, </w:t>
      </w:r>
      <w:r w:rsidRPr="00B50AB1">
        <w:rPr>
          <w:b/>
          <w:bCs/>
          <w:lang w:val="en-US"/>
        </w:rPr>
        <w:t>50 units (20% of the total project) are reserved for very-low-income households at ≤50% AMI</w:t>
      </w:r>
      <w:r w:rsidRPr="00B50AB1">
        <w:rPr>
          <w:lang w:val="en-US"/>
        </w:rPr>
        <w:t xml:space="preserve">. This mix satisfies the program’s criteria for the </w:t>
      </w:r>
      <w:r w:rsidRPr="00B50AB1">
        <w:rPr>
          <w:b/>
          <w:bCs/>
          <w:lang w:val="en-US"/>
        </w:rPr>
        <w:t>maximum performance grant:</w:t>
      </w:r>
      <w:r w:rsidRPr="00B50AB1">
        <w:rPr>
          <w:lang w:val="en-US"/>
        </w:rPr>
        <w:t xml:space="preserve"> the base grant percentage is proportional to the share of affordable units³, and because at least 20% of units are at ≤50% AMI, the program allows </w:t>
      </w:r>
      <w:r w:rsidRPr="00B50AB1">
        <w:rPr>
          <w:b/>
          <w:bCs/>
          <w:lang w:val="en-US"/>
        </w:rPr>
        <w:t>doubling the grant percentage up to a 100% tax rebate</w:t>
      </w:r>
      <w:r w:rsidRPr="00B50AB1">
        <w:rPr>
          <w:lang w:val="en-US"/>
        </w:rPr>
        <w:t xml:space="preserve">³. In effect, the development qualifies for an annual grant equal to </w:t>
      </w:r>
      <w:r w:rsidRPr="00B50AB1">
        <w:rPr>
          <w:b/>
          <w:bCs/>
          <w:lang w:val="en-US"/>
        </w:rPr>
        <w:t>100% of the incremental property taxes generated</w:t>
      </w:r>
      <w:r w:rsidRPr="00B50AB1">
        <w:rPr>
          <w:lang w:val="en-US"/>
        </w:rPr>
        <w:t xml:space="preserve"> by the new improvements.</w:t>
      </w:r>
    </w:p>
    <w:p w14:paraId="3C7826B7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Property Tax Calculations:</w:t>
      </w:r>
      <w:r w:rsidRPr="00B50AB1">
        <w:rPr>
          <w:lang w:val="en-US"/>
        </w:rPr>
        <w:t xml:space="preserve"> At full occupancy and assessment, the </w:t>
      </w:r>
      <w:r w:rsidRPr="00B50AB1">
        <w:rPr>
          <w:b/>
          <w:bCs/>
          <w:lang w:val="en-US"/>
        </w:rPr>
        <w:t>total annual property tax</w:t>
      </w:r>
      <w:r w:rsidRPr="00B50AB1">
        <w:rPr>
          <w:lang w:val="en-US"/>
        </w:rPr>
        <w:t xml:space="preserve"> on the development is projected at roughly </w:t>
      </w:r>
      <w:r w:rsidRPr="00B50AB1">
        <w:rPr>
          <w:b/>
          <w:bCs/>
          <w:lang w:val="en-US"/>
        </w:rPr>
        <w:t>$534,000</w:t>
      </w:r>
      <w:r w:rsidRPr="00B50AB1">
        <w:rPr>
          <w:lang w:val="en-US"/>
        </w:rPr>
        <w:t xml:space="preserve"> (calculation: $55,125,000 × $0.97 / $100)¹. Prior to development, the site’s land might have generated a small fraction of that (e.g. ~$2.5 million land value taxed at ~$24,000¹). The </w:t>
      </w:r>
      <w:r w:rsidRPr="00B50AB1">
        <w:rPr>
          <w:b/>
          <w:bCs/>
          <w:lang w:val="en-US"/>
        </w:rPr>
        <w:t>“incremental” tax from the new construction</w:t>
      </w:r>
      <w:r w:rsidRPr="00B50AB1">
        <w:rPr>
          <w:lang w:val="en-US"/>
        </w:rPr>
        <w:t xml:space="preserve"> is therefore about </w:t>
      </w:r>
      <w:r w:rsidRPr="00B50AB1">
        <w:rPr>
          <w:b/>
          <w:bCs/>
          <w:lang w:val="en-US"/>
        </w:rPr>
        <w:t>$510,000 in Year 1</w:t>
      </w:r>
      <w:r w:rsidRPr="00B50AB1">
        <w:rPr>
          <w:lang w:val="en-US"/>
        </w:rPr>
        <w:t xml:space="preserve">. Under the AWHP grant agreement, the developer pays the full tax bill to the City, then receives </w:t>
      </w:r>
      <w:r w:rsidRPr="00B50AB1">
        <w:rPr>
          <w:lang w:val="en-US"/>
        </w:rPr>
        <w:lastRenderedPageBreak/>
        <w:t xml:space="preserve">an </w:t>
      </w:r>
      <w:r w:rsidRPr="00B50AB1">
        <w:rPr>
          <w:b/>
          <w:bCs/>
          <w:lang w:val="en-US"/>
        </w:rPr>
        <w:t>annual grant reimbursement of ~$510k</w:t>
      </w:r>
      <w:r w:rsidRPr="00B50AB1">
        <w:rPr>
          <w:lang w:val="en-US"/>
        </w:rPr>
        <w:t xml:space="preserve">, effectively negating </w:t>
      </w:r>
      <w:r w:rsidRPr="00B50AB1">
        <w:rPr>
          <w:b/>
          <w:bCs/>
          <w:lang w:val="en-US"/>
        </w:rPr>
        <w:t>almost the entire tax liability</w:t>
      </w:r>
      <w:r w:rsidRPr="00B50AB1">
        <w:rPr>
          <w:lang w:val="en-US"/>
        </w:rPr>
        <w:t xml:space="preserve"> of the project in the first year¹. The city retains only the pre-existing $24k land tax.</w:t>
      </w:r>
    </w:p>
    <w:p w14:paraId="6871FFC9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Multi-Year Projections:</w:t>
      </w:r>
      <w:r w:rsidRPr="00B50AB1">
        <w:rPr>
          <w:lang w:val="en-US"/>
        </w:rPr>
        <w:t xml:space="preserve"> We modeled the tax impact over 15 and 30 years, aligning with the program’s initial term and the possible extension. Real estate assessments in Virginia Beach historically grow ~3% per year on average², so we apply a </w:t>
      </w:r>
      <w:r w:rsidRPr="00B50AB1">
        <w:rPr>
          <w:b/>
          <w:bCs/>
          <w:lang w:val="en-US"/>
        </w:rPr>
        <w:t>3% annual increase</w:t>
      </w:r>
      <w:r w:rsidRPr="00B50AB1">
        <w:rPr>
          <w:lang w:val="en-US"/>
        </w:rPr>
        <w:t xml:space="preserve"> in assessed value (and taxes). Over the </w:t>
      </w:r>
      <w:r w:rsidRPr="00B50AB1">
        <w:rPr>
          <w:b/>
          <w:bCs/>
          <w:lang w:val="en-US"/>
        </w:rPr>
        <w:t>15-year incentive period</w:t>
      </w:r>
      <w:r w:rsidRPr="00B50AB1">
        <w:rPr>
          <w:lang w:val="en-US"/>
        </w:rPr>
        <w:t xml:space="preserve">, the </w:t>
      </w:r>
      <w:r w:rsidRPr="00B50AB1">
        <w:rPr>
          <w:b/>
          <w:bCs/>
          <w:lang w:val="en-US"/>
        </w:rPr>
        <w:t>cumulative foregone tax revenue</w:t>
      </w:r>
      <w:r w:rsidRPr="00B50AB1">
        <w:rPr>
          <w:lang w:val="en-US"/>
        </w:rPr>
        <w:t xml:space="preserve"> (the grant paid to the developer) is approximately </w:t>
      </w:r>
      <w:r w:rsidRPr="00B50AB1">
        <w:rPr>
          <w:b/>
          <w:bCs/>
          <w:lang w:val="en-US"/>
        </w:rPr>
        <w:t>$9.5 million</w:t>
      </w:r>
      <w:r w:rsidRPr="00B50AB1">
        <w:rPr>
          <w:lang w:val="en-US"/>
        </w:rPr>
        <w:t xml:space="preserve"> nominal. If extended to </w:t>
      </w:r>
      <w:r w:rsidRPr="00B50AB1">
        <w:rPr>
          <w:b/>
          <w:bCs/>
          <w:lang w:val="en-US"/>
        </w:rPr>
        <w:t>30 years</w:t>
      </w:r>
      <w:r w:rsidRPr="00B50AB1">
        <w:rPr>
          <w:lang w:val="en-US"/>
        </w:rPr>
        <w:t xml:space="preserve">, the total taxes not collected would reach roughly </w:t>
      </w:r>
      <w:r w:rsidRPr="00B50AB1">
        <w:rPr>
          <w:b/>
          <w:bCs/>
          <w:lang w:val="en-US"/>
        </w:rPr>
        <w:t>$24–25 million</w:t>
      </w:r>
      <w:r w:rsidRPr="00B50AB1">
        <w:rPr>
          <w:lang w:val="en-US"/>
        </w:rPr>
        <w:t xml:space="preserve">. By Year 30, the annual tax bill – which would otherwise be about </w:t>
      </w:r>
      <w:r w:rsidRPr="00B50AB1">
        <w:rPr>
          <w:b/>
          <w:bCs/>
          <w:lang w:val="en-US"/>
        </w:rPr>
        <w:t>$1.2 million</w:t>
      </w:r>
      <w:r w:rsidRPr="00B50AB1">
        <w:rPr>
          <w:lang w:val="en-US"/>
        </w:rPr>
        <w:t xml:space="preserve"> by then – is still being rebated in full to the developer.</w:t>
      </w:r>
    </w:p>
    <w:p w14:paraId="786EC2E5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Table 1. Estimated Property-Tax Impacts of 250-Unit Project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5"/>
        <w:gridCol w:w="1080"/>
        <w:gridCol w:w="1299"/>
        <w:gridCol w:w="1314"/>
      </w:tblGrid>
      <w:tr w:rsidR="00B50AB1" w:rsidRPr="00B50AB1" w14:paraId="3D2A4A23" w14:textId="77777777" w:rsidTr="008A30F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37B537" w14:textId="77777777" w:rsidR="00B50AB1" w:rsidRPr="00B50AB1" w:rsidRDefault="00B50AB1" w:rsidP="00B50AB1">
            <w:pPr>
              <w:rPr>
                <w:b/>
                <w:bCs/>
                <w:lang w:val="en-US"/>
              </w:rPr>
            </w:pPr>
            <w:r w:rsidRPr="00B50AB1">
              <w:rPr>
                <w:b/>
                <w:bCs/>
                <w:lang w:val="en-US"/>
              </w:rPr>
              <w:t>Tax Impact</w:t>
            </w:r>
          </w:p>
        </w:tc>
        <w:tc>
          <w:tcPr>
            <w:tcW w:w="0" w:type="auto"/>
            <w:vAlign w:val="center"/>
            <w:hideMark/>
          </w:tcPr>
          <w:p w14:paraId="102FD9B9" w14:textId="77777777" w:rsidR="00B50AB1" w:rsidRPr="00B50AB1" w:rsidRDefault="00B50AB1" w:rsidP="00B50AB1">
            <w:pPr>
              <w:rPr>
                <w:b/>
                <w:bCs/>
                <w:lang w:val="en-US"/>
              </w:rPr>
            </w:pPr>
            <w:r w:rsidRPr="00B50AB1">
              <w:rPr>
                <w:b/>
                <w:bCs/>
                <w:lang w:val="en-US"/>
              </w:rPr>
              <w:t>Year 1</w:t>
            </w:r>
          </w:p>
        </w:tc>
        <w:tc>
          <w:tcPr>
            <w:tcW w:w="0" w:type="auto"/>
            <w:vAlign w:val="center"/>
            <w:hideMark/>
          </w:tcPr>
          <w:p w14:paraId="16C04069" w14:textId="77777777" w:rsidR="00B50AB1" w:rsidRPr="00B50AB1" w:rsidRDefault="00B50AB1" w:rsidP="00B50AB1">
            <w:pPr>
              <w:rPr>
                <w:b/>
                <w:bCs/>
                <w:lang w:val="en-US"/>
              </w:rPr>
            </w:pPr>
            <w:r w:rsidRPr="00B50AB1">
              <w:rPr>
                <w:b/>
                <w:bCs/>
                <w:lang w:val="en-US"/>
              </w:rPr>
              <w:t>15-Year Total</w:t>
            </w:r>
          </w:p>
        </w:tc>
        <w:tc>
          <w:tcPr>
            <w:tcW w:w="0" w:type="auto"/>
            <w:vAlign w:val="center"/>
            <w:hideMark/>
          </w:tcPr>
          <w:p w14:paraId="6873CA71" w14:textId="77777777" w:rsidR="00B50AB1" w:rsidRPr="00B50AB1" w:rsidRDefault="00B50AB1" w:rsidP="00B50AB1">
            <w:pPr>
              <w:rPr>
                <w:b/>
                <w:bCs/>
                <w:lang w:val="en-US"/>
              </w:rPr>
            </w:pPr>
            <w:r w:rsidRPr="00B50AB1">
              <w:rPr>
                <w:b/>
                <w:bCs/>
                <w:lang w:val="en-US"/>
              </w:rPr>
              <w:t>30-Year Total</w:t>
            </w:r>
          </w:p>
        </w:tc>
      </w:tr>
      <w:tr w:rsidR="00B50AB1" w:rsidRPr="00B50AB1" w14:paraId="6E701611" w14:textId="77777777" w:rsidTr="008A3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AE893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Incremental taxes rebated to developer (foregone by City)</w:t>
            </w:r>
          </w:p>
        </w:tc>
        <w:tc>
          <w:tcPr>
            <w:tcW w:w="0" w:type="auto"/>
            <w:vAlign w:val="center"/>
            <w:hideMark/>
          </w:tcPr>
          <w:p w14:paraId="12690A4D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~$510,000¹</w:t>
            </w:r>
          </w:p>
        </w:tc>
        <w:tc>
          <w:tcPr>
            <w:tcW w:w="0" w:type="auto"/>
            <w:vAlign w:val="center"/>
            <w:hideMark/>
          </w:tcPr>
          <w:p w14:paraId="62BCD69B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~$9.5 million¹</w:t>
            </w:r>
          </w:p>
        </w:tc>
        <w:tc>
          <w:tcPr>
            <w:tcW w:w="0" w:type="auto"/>
            <w:vAlign w:val="center"/>
            <w:hideMark/>
          </w:tcPr>
          <w:p w14:paraId="0181DFB7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~$24 million</w:t>
            </w:r>
          </w:p>
        </w:tc>
      </w:tr>
      <w:tr w:rsidR="00B50AB1" w:rsidRPr="00B50AB1" w14:paraId="43918924" w14:textId="77777777" w:rsidTr="008A30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B78EB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City tax revenue collected (base land tax only)</w:t>
            </w:r>
          </w:p>
        </w:tc>
        <w:tc>
          <w:tcPr>
            <w:tcW w:w="0" w:type="auto"/>
            <w:vAlign w:val="center"/>
            <w:hideMark/>
          </w:tcPr>
          <w:p w14:paraId="1C2AC696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~$24,000¹</w:t>
            </w:r>
          </w:p>
        </w:tc>
        <w:tc>
          <w:tcPr>
            <w:tcW w:w="0" w:type="auto"/>
            <w:vAlign w:val="center"/>
            <w:hideMark/>
          </w:tcPr>
          <w:p w14:paraId="30111B98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~$0.4 million</w:t>
            </w:r>
          </w:p>
        </w:tc>
        <w:tc>
          <w:tcPr>
            <w:tcW w:w="0" w:type="auto"/>
            <w:vAlign w:val="center"/>
            <w:hideMark/>
          </w:tcPr>
          <w:p w14:paraId="1B5C6B6A" w14:textId="77777777" w:rsidR="00B50AB1" w:rsidRPr="00B50AB1" w:rsidRDefault="00B50AB1" w:rsidP="00B50AB1">
            <w:pPr>
              <w:rPr>
                <w:lang w:val="en-US"/>
              </w:rPr>
            </w:pPr>
            <w:r w:rsidRPr="00B50AB1">
              <w:rPr>
                <w:lang w:val="en-US"/>
              </w:rPr>
              <w:t>~$0.8 million</w:t>
            </w:r>
          </w:p>
        </w:tc>
      </w:tr>
    </w:tbl>
    <w:p w14:paraId="4146F66E" w14:textId="77777777" w:rsidR="00B50AB1" w:rsidRPr="00B50AB1" w:rsidRDefault="00B50AB1" w:rsidP="00B50AB1">
      <w:pPr>
        <w:rPr>
          <w:lang w:val="en-US"/>
        </w:rPr>
      </w:pPr>
      <w:r w:rsidRPr="00B50AB1">
        <w:rPr>
          <w:lang w:val="en-US"/>
        </w:rPr>
        <w:t xml:space="preserve">As shown, the </w:t>
      </w:r>
      <w:r w:rsidRPr="00B50AB1">
        <w:rPr>
          <w:b/>
          <w:bCs/>
          <w:lang w:val="en-US"/>
        </w:rPr>
        <w:t>vast majority of potential tax revenue from the new development is diverted</w:t>
      </w:r>
      <w:r w:rsidRPr="00B50AB1">
        <w:rPr>
          <w:lang w:val="en-US"/>
        </w:rPr>
        <w:t xml:space="preserve"> back to the developer via the performance grant under this optimized-affordability scenario. The City’s </w:t>
      </w:r>
      <w:r w:rsidRPr="00B50AB1">
        <w:rPr>
          <w:b/>
          <w:bCs/>
          <w:lang w:val="en-US"/>
        </w:rPr>
        <w:t>opportunity cost</w:t>
      </w:r>
      <w:r w:rsidRPr="00B50AB1">
        <w:rPr>
          <w:lang w:val="en-US"/>
        </w:rPr>
        <w:t xml:space="preserve"> is roughly </w:t>
      </w:r>
      <w:r w:rsidRPr="00B50AB1">
        <w:rPr>
          <w:b/>
          <w:bCs/>
          <w:lang w:val="en-US"/>
        </w:rPr>
        <w:t>half a million dollars per year</w:t>
      </w:r>
      <w:r w:rsidRPr="00B50AB1">
        <w:rPr>
          <w:lang w:val="en-US"/>
        </w:rPr>
        <w:t>, compounding with property value growth, which sums to tens of millions over the life of the incentive. In exchange, the community gains 125 affordable/workforce units that might not otherwise be financially feasible.</w:t>
      </w:r>
    </w:p>
    <w:p w14:paraId="5A68B752" w14:textId="77777777" w:rsidR="00B50AB1" w:rsidRPr="00B50AB1" w:rsidRDefault="00000000" w:rsidP="00B50AB1">
      <w:pPr>
        <w:rPr>
          <w:lang w:val="en-US"/>
        </w:rPr>
      </w:pPr>
      <w:r>
        <w:rPr>
          <w:lang w:val="en-US"/>
        </w:rPr>
        <w:pict w14:anchorId="6363C885">
          <v:rect id="_x0000_i1026" style="width:0;height:1.5pt" o:hralign="center" o:hrstd="t" o:hr="t" fillcolor="#a0a0a0" stroked="f"/>
        </w:pict>
      </w:r>
    </w:p>
    <w:p w14:paraId="7E4DAB10" w14:textId="77777777" w:rsidR="00B50AB1" w:rsidRPr="00B50AB1" w:rsidRDefault="00B50AB1" w:rsidP="00B50AB1">
      <w:pPr>
        <w:rPr>
          <w:b/>
          <w:bCs/>
          <w:lang w:val="en-US"/>
        </w:rPr>
      </w:pPr>
      <w:r w:rsidRPr="00B50AB1">
        <w:rPr>
          <w:b/>
          <w:bCs/>
          <w:lang w:val="en-US"/>
        </w:rPr>
        <w:t>Policy Implications</w:t>
      </w:r>
    </w:p>
    <w:p w14:paraId="04A882B2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City Fiscal Impact:</w:t>
      </w:r>
      <w:r w:rsidRPr="00B50AB1">
        <w:rPr>
          <w:lang w:val="en-US"/>
        </w:rPr>
        <w:t xml:space="preserve"> The AWHP grant in this scenario represents a </w:t>
      </w:r>
      <w:r w:rsidRPr="00B50AB1">
        <w:rPr>
          <w:b/>
          <w:bCs/>
          <w:lang w:val="en-US"/>
        </w:rPr>
        <w:t>significant deferral of revenue</w:t>
      </w:r>
      <w:r w:rsidRPr="00B50AB1">
        <w:rPr>
          <w:lang w:val="en-US"/>
        </w:rPr>
        <w:t xml:space="preserve"> that would otherwise fund general city services. Over 30 years, ~$24 million in foregone taxes is equivalent to roughly </w:t>
      </w:r>
      <w:r w:rsidRPr="00B50AB1">
        <w:rPr>
          <w:b/>
          <w:bCs/>
          <w:lang w:val="en-US"/>
        </w:rPr>
        <w:t>2.8 cents on the tax rate</w:t>
      </w:r>
      <w:r w:rsidRPr="00B50AB1">
        <w:rPr>
          <w:lang w:val="en-US"/>
        </w:rPr>
        <w:t xml:space="preserve"> (for one year’s $842 million tax base)², or about 0.06% of annual property tax revenues each year. While manageable individually, multiple large projects receiving 100% grants could become substantial. The program functions as a long-term </w:t>
      </w:r>
      <w:r w:rsidRPr="00B50AB1">
        <w:rPr>
          <w:b/>
          <w:bCs/>
          <w:lang w:val="en-US"/>
        </w:rPr>
        <w:t>tax expenditure</w:t>
      </w:r>
      <w:r w:rsidRPr="00B50AB1">
        <w:rPr>
          <w:lang w:val="en-US"/>
        </w:rPr>
        <w:t xml:space="preserve"> – future revenue traded for affordable housing – requiring </w:t>
      </w:r>
      <w:r w:rsidRPr="00B50AB1">
        <w:rPr>
          <w:b/>
          <w:bCs/>
          <w:lang w:val="en-US"/>
        </w:rPr>
        <w:t>transparency and tracking</w:t>
      </w:r>
      <w:r w:rsidRPr="00B50AB1">
        <w:rPr>
          <w:lang w:val="en-US"/>
        </w:rPr>
        <w:t xml:space="preserve"> so policymakers and the public understand the trade-offs.</w:t>
      </w:r>
    </w:p>
    <w:p w14:paraId="4FAAA022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Housing Affordability Benefits:</w:t>
      </w:r>
      <w:r w:rsidRPr="00B50AB1">
        <w:rPr>
          <w:lang w:val="en-US"/>
        </w:rPr>
        <w:t xml:space="preserve"> In return for giving up tax revenue, the City gains </w:t>
      </w:r>
      <w:r w:rsidRPr="00B50AB1">
        <w:rPr>
          <w:b/>
          <w:bCs/>
          <w:lang w:val="en-US"/>
        </w:rPr>
        <w:t>250 units of attainable housing</w:t>
      </w:r>
      <w:r w:rsidRPr="00B50AB1">
        <w:rPr>
          <w:lang w:val="en-US"/>
        </w:rPr>
        <w:t xml:space="preserve">, half of them (125) affordable to moderate and low-income households for the duration of the grant. This directly addresses Virginia Beach’s shortage of affordable rentals⁴. The targeted income levels (≤80% AMI, with many ≤50% AMI) serve teachers, police, nurses, and hospitality workers who struggle to find affordable homes⁴. There is a clear </w:t>
      </w:r>
      <w:r w:rsidRPr="00B50AB1">
        <w:rPr>
          <w:b/>
          <w:bCs/>
          <w:lang w:val="en-US"/>
        </w:rPr>
        <w:t>policy rationale</w:t>
      </w:r>
      <w:r w:rsidRPr="00B50AB1">
        <w:rPr>
          <w:lang w:val="en-US"/>
        </w:rPr>
        <w:t xml:space="preserve">: the City leverages future tax revenue to </w:t>
      </w:r>
      <w:r w:rsidRPr="00B50AB1">
        <w:rPr>
          <w:b/>
          <w:bCs/>
          <w:lang w:val="en-US"/>
        </w:rPr>
        <w:t>incentivize private developers to build units the market otherwise undersupplies</w:t>
      </w:r>
      <w:r w:rsidRPr="00B50AB1">
        <w:rPr>
          <w:lang w:val="en-US"/>
        </w:rPr>
        <w:t>.</w:t>
      </w:r>
    </w:p>
    <w:p w14:paraId="5FCE1E67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lastRenderedPageBreak/>
        <w:t>Developer Perspective &amp; Incentive Calibration:</w:t>
      </w:r>
      <w:r w:rsidRPr="00B50AB1">
        <w:rPr>
          <w:lang w:val="en-US"/>
        </w:rPr>
        <w:t xml:space="preserve"> Even with full tax rebate, developers are </w:t>
      </w:r>
      <w:r w:rsidRPr="00B50AB1">
        <w:rPr>
          <w:b/>
          <w:bCs/>
          <w:lang w:val="en-US"/>
        </w:rPr>
        <w:t>not fully compensated for forgone rent</w:t>
      </w:r>
      <w:r w:rsidRPr="00B50AB1">
        <w:rPr>
          <w:lang w:val="en-US"/>
        </w:rPr>
        <w:t xml:space="preserve">. A city analysis found a 400-unit all-affordable project would yield </w:t>
      </w:r>
      <w:r w:rsidRPr="00B50AB1">
        <w:rPr>
          <w:b/>
          <w:bCs/>
          <w:lang w:val="en-US"/>
        </w:rPr>
        <w:t>$48 million less rent over 15 years</w:t>
      </w:r>
      <w:r w:rsidRPr="00B50AB1">
        <w:rPr>
          <w:lang w:val="en-US"/>
        </w:rPr>
        <w:t xml:space="preserve"> than market rate, while the maximum AWHP grant (~$15 million) would offset only </w:t>
      </w:r>
      <w:r w:rsidRPr="00B50AB1">
        <w:rPr>
          <w:b/>
          <w:bCs/>
          <w:lang w:val="en-US"/>
        </w:rPr>
        <w:t>one-third</w:t>
      </w:r>
      <w:r w:rsidRPr="00B50AB1">
        <w:rPr>
          <w:lang w:val="en-US"/>
        </w:rPr>
        <w:t xml:space="preserve"> of that gap⁵. Thus most projects will be </w:t>
      </w:r>
      <w:r w:rsidRPr="00B50AB1">
        <w:rPr>
          <w:b/>
          <w:bCs/>
          <w:lang w:val="en-US"/>
        </w:rPr>
        <w:t>mixed-income</w:t>
      </w:r>
      <w:r w:rsidRPr="00B50AB1">
        <w:rPr>
          <w:lang w:val="en-US"/>
        </w:rPr>
        <w:t xml:space="preserve"> – blending market-rate units with affordable units plus the grant to bridge feasibility. The </w:t>
      </w:r>
      <w:r w:rsidRPr="00B50AB1">
        <w:rPr>
          <w:b/>
          <w:bCs/>
          <w:lang w:val="en-US"/>
        </w:rPr>
        <w:t>performance-based rebate</w:t>
      </w:r>
      <w:r w:rsidRPr="00B50AB1">
        <w:rPr>
          <w:lang w:val="en-US"/>
        </w:rPr>
        <w:t xml:space="preserve"> ensures the developer only benefits if the project is built and pays taxes first³, protecting the City from upfront risk.</w:t>
      </w:r>
    </w:p>
    <w:p w14:paraId="01713E66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Economic &amp; Community Considerations:</w:t>
      </w:r>
      <w:r w:rsidRPr="00B50AB1">
        <w:rPr>
          <w:lang w:val="en-US"/>
        </w:rPr>
        <w:t xml:space="preserve"> The foregone revenue can be balanced against </w:t>
      </w:r>
      <w:r w:rsidRPr="00B50AB1">
        <w:rPr>
          <w:b/>
          <w:bCs/>
          <w:lang w:val="en-US"/>
        </w:rPr>
        <w:t>economic benefits</w:t>
      </w:r>
      <w:r w:rsidRPr="00B50AB1">
        <w:rPr>
          <w:lang w:val="en-US"/>
        </w:rPr>
        <w:t xml:space="preserve"> such as construction jobs, resident spending, and future tax recovery after 30 years. Creating workforce housing also provides long-term social value (stability, reduced commute times). Still, policymakers must weigh whether </w:t>
      </w:r>
      <w:r w:rsidRPr="00B50AB1">
        <w:rPr>
          <w:b/>
          <w:bCs/>
          <w:lang w:val="en-US"/>
        </w:rPr>
        <w:t>the public good gained merits the revenue postponed</w:t>
      </w:r>
      <w:r w:rsidRPr="00B50AB1">
        <w:rPr>
          <w:lang w:val="en-US"/>
        </w:rPr>
        <w:t>. The AWHP shifts the cost of housing policy into the tax system via deferred revenue.</w:t>
      </w:r>
    </w:p>
    <w:p w14:paraId="70736E86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Equity and Targeting:</w:t>
      </w:r>
      <w:r w:rsidRPr="00B50AB1">
        <w:rPr>
          <w:lang w:val="en-US"/>
        </w:rPr>
        <w:t xml:space="preserve"> The program’s structure rewards inclusion of </w:t>
      </w:r>
      <w:r w:rsidRPr="00B50AB1">
        <w:rPr>
          <w:b/>
          <w:bCs/>
          <w:lang w:val="en-US"/>
        </w:rPr>
        <w:t>very-low-income (≤50% AMI) units</w:t>
      </w:r>
      <w:r w:rsidRPr="00B50AB1">
        <w:rPr>
          <w:lang w:val="en-US"/>
        </w:rPr>
        <w:t>, promoting equity across neighborhoods. Enforcement through annual audits and occupancy verification is vital³. Non-compliance should terminate grants to protect taxpayers.</w:t>
      </w:r>
    </w:p>
    <w:p w14:paraId="1763EF9D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Capacity and Precedent:</w:t>
      </w:r>
      <w:r w:rsidRPr="00B50AB1">
        <w:rPr>
          <w:lang w:val="en-US"/>
        </w:rPr>
        <w:t xml:space="preserve"> The City may wish to cap total annual AWHP grants or require “return-on-public-investment” metrics. Overuse of 100% grants could erode base-growth. Priority should go to projects delivering the </w:t>
      </w:r>
      <w:r w:rsidRPr="00B50AB1">
        <w:rPr>
          <w:b/>
          <w:bCs/>
          <w:lang w:val="en-US"/>
        </w:rPr>
        <w:t>greatest affordable-unit yield per tax dollar</w:t>
      </w:r>
      <w:r w:rsidRPr="00B50AB1">
        <w:rPr>
          <w:lang w:val="en-US"/>
        </w:rPr>
        <w:t>.</w:t>
      </w:r>
    </w:p>
    <w:p w14:paraId="6FEC0C76" w14:textId="77777777" w:rsidR="00B50AB1" w:rsidRPr="00B50AB1" w:rsidRDefault="00000000" w:rsidP="00B50AB1">
      <w:pPr>
        <w:rPr>
          <w:lang w:val="en-US"/>
        </w:rPr>
      </w:pPr>
      <w:r>
        <w:rPr>
          <w:lang w:val="en-US"/>
        </w:rPr>
        <w:pict w14:anchorId="061090AE">
          <v:rect id="_x0000_i1027" style="width:0;height:1.5pt" o:hralign="center" o:hrstd="t" o:hr="t" fillcolor="#a0a0a0" stroked="f"/>
        </w:pict>
      </w:r>
    </w:p>
    <w:p w14:paraId="4DA6EE12" w14:textId="77777777" w:rsidR="00B50AB1" w:rsidRPr="00B50AB1" w:rsidRDefault="00B50AB1" w:rsidP="00B50AB1">
      <w:pPr>
        <w:rPr>
          <w:b/>
          <w:bCs/>
          <w:lang w:val="en-US"/>
        </w:rPr>
      </w:pPr>
      <w:r w:rsidRPr="00B50AB1">
        <w:rPr>
          <w:b/>
          <w:bCs/>
          <w:lang w:val="en-US"/>
        </w:rPr>
        <w:t>Recommendation</w:t>
      </w:r>
    </w:p>
    <w:p w14:paraId="18081543" w14:textId="77777777" w:rsidR="00B50AB1" w:rsidRPr="00B50AB1" w:rsidRDefault="00B50AB1" w:rsidP="00B50AB1">
      <w:pPr>
        <w:rPr>
          <w:lang w:val="en-US"/>
        </w:rPr>
      </w:pPr>
      <w:r w:rsidRPr="00B50AB1">
        <w:rPr>
          <w:b/>
          <w:bCs/>
          <w:lang w:val="en-US"/>
        </w:rPr>
        <w:t>Support the Attainable Workforce Housing Performance Grant for this project, with safeguards for public accountability.</w:t>
      </w:r>
      <w:r w:rsidRPr="00B50AB1">
        <w:rPr>
          <w:lang w:val="en-US"/>
        </w:rPr>
        <w:t xml:space="preserve"> The analysis shows a 250-unit project with optimal affordability can secure the maximum tax incentive, providing the developer the benefit needed to achieve </w:t>
      </w:r>
      <w:r w:rsidRPr="00B50AB1">
        <w:rPr>
          <w:b/>
          <w:bCs/>
          <w:lang w:val="en-US"/>
        </w:rPr>
        <w:t>125 new affordable/workforce units</w:t>
      </w:r>
      <w:r w:rsidRPr="00B50AB1">
        <w:rPr>
          <w:lang w:val="en-US"/>
        </w:rPr>
        <w:t xml:space="preserve"> consistent with City policy goals⁴. Therefore:</w:t>
      </w:r>
    </w:p>
    <w:p w14:paraId="09247453" w14:textId="77777777" w:rsidR="00B50AB1" w:rsidRPr="00B50AB1" w:rsidRDefault="00B50AB1" w:rsidP="00B50AB1">
      <w:pPr>
        <w:numPr>
          <w:ilvl w:val="0"/>
          <w:numId w:val="25"/>
        </w:numPr>
        <w:rPr>
          <w:lang w:val="en-US"/>
        </w:rPr>
      </w:pPr>
      <w:r w:rsidRPr="00B50AB1">
        <w:rPr>
          <w:b/>
          <w:bCs/>
          <w:lang w:val="en-US"/>
        </w:rPr>
        <w:t>Authorize a 15-year grant at 100% of incremental taxes</w:t>
      </w:r>
      <w:r w:rsidRPr="00B50AB1">
        <w:rPr>
          <w:lang w:val="en-US"/>
        </w:rPr>
        <w:t>, contingent on rents for at least 50% of units ≤ 80% AMI and 20% ≤ 50% AMI³. Include strict compliance monitoring.</w:t>
      </w:r>
    </w:p>
    <w:p w14:paraId="568F447B" w14:textId="77777777" w:rsidR="00B50AB1" w:rsidRPr="00B50AB1" w:rsidRDefault="00B50AB1" w:rsidP="00B50AB1">
      <w:pPr>
        <w:numPr>
          <w:ilvl w:val="0"/>
          <w:numId w:val="25"/>
        </w:numPr>
        <w:rPr>
          <w:lang w:val="en-US"/>
        </w:rPr>
      </w:pPr>
      <w:r w:rsidRPr="00B50AB1">
        <w:rPr>
          <w:b/>
          <w:bCs/>
          <w:lang w:val="en-US"/>
        </w:rPr>
        <w:t>Plan for a 30-year extension</w:t>
      </w:r>
      <w:r w:rsidRPr="00B50AB1">
        <w:rPr>
          <w:lang w:val="en-US"/>
        </w:rPr>
        <w:t xml:space="preserve"> conditional on performance review and property reinvestment at Year 15⁶.</w:t>
      </w:r>
    </w:p>
    <w:p w14:paraId="51430297" w14:textId="77777777" w:rsidR="00B50AB1" w:rsidRPr="00B50AB1" w:rsidRDefault="00B50AB1" w:rsidP="00B50AB1">
      <w:pPr>
        <w:numPr>
          <w:ilvl w:val="0"/>
          <w:numId w:val="25"/>
        </w:numPr>
        <w:rPr>
          <w:lang w:val="en-US"/>
        </w:rPr>
      </w:pPr>
      <w:r w:rsidRPr="00B50AB1">
        <w:rPr>
          <w:b/>
          <w:bCs/>
          <w:lang w:val="en-US"/>
        </w:rPr>
        <w:t>Mitigate fiscal impact</w:t>
      </w:r>
      <w:r w:rsidRPr="00B50AB1">
        <w:rPr>
          <w:lang w:val="en-US"/>
        </w:rPr>
        <w:t xml:space="preserve"> by budgeting the ~$510k/year as a planned housing expenditure and exploring external offsets.</w:t>
      </w:r>
    </w:p>
    <w:p w14:paraId="12C747E1" w14:textId="77777777" w:rsidR="00B50AB1" w:rsidRPr="00B50AB1" w:rsidRDefault="00B50AB1" w:rsidP="00B50AB1">
      <w:pPr>
        <w:numPr>
          <w:ilvl w:val="0"/>
          <w:numId w:val="25"/>
        </w:numPr>
        <w:rPr>
          <w:lang w:val="en-US"/>
        </w:rPr>
      </w:pPr>
      <w:r w:rsidRPr="00B50AB1">
        <w:rPr>
          <w:b/>
          <w:bCs/>
          <w:lang w:val="en-US"/>
        </w:rPr>
        <w:t>Publish annual reports</w:t>
      </w:r>
      <w:r w:rsidRPr="00B50AB1">
        <w:rPr>
          <w:lang w:val="en-US"/>
        </w:rPr>
        <w:t xml:space="preserve"> showing units created, income levels, and tax revenue foregone, allowing civic oversight by VBCCO and residents.</w:t>
      </w:r>
    </w:p>
    <w:p w14:paraId="021D413C" w14:textId="77777777" w:rsidR="00B50AB1" w:rsidRPr="00B50AB1" w:rsidRDefault="00B50AB1" w:rsidP="00B50AB1">
      <w:pPr>
        <w:rPr>
          <w:lang w:val="en-US"/>
        </w:rPr>
      </w:pPr>
      <w:r w:rsidRPr="00B50AB1">
        <w:rPr>
          <w:lang w:val="en-US"/>
        </w:rPr>
        <w:t xml:space="preserve">In conclusion, the AWHP grant can be a </w:t>
      </w:r>
      <w:r w:rsidRPr="00B50AB1">
        <w:rPr>
          <w:b/>
          <w:bCs/>
          <w:lang w:val="en-US"/>
        </w:rPr>
        <w:t>powerful, self-funding tool</w:t>
      </w:r>
      <w:r w:rsidRPr="00B50AB1">
        <w:rPr>
          <w:lang w:val="en-US"/>
        </w:rPr>
        <w:t xml:space="preserve"> for expanding affordable housing. Properly managed, it aligns the City’s housing goals with fiscal prudence, ensuring Virginia Beach invests wisely in attainable homes for its workforce.</w:t>
      </w:r>
    </w:p>
    <w:p w14:paraId="375C3AA4" w14:textId="77777777" w:rsidR="00B50AB1" w:rsidRPr="00B50AB1" w:rsidRDefault="00000000" w:rsidP="00B50AB1">
      <w:pPr>
        <w:rPr>
          <w:lang w:val="en-US"/>
        </w:rPr>
      </w:pPr>
      <w:r>
        <w:rPr>
          <w:lang w:val="en-US"/>
        </w:rPr>
        <w:lastRenderedPageBreak/>
        <w:pict w14:anchorId="448B0813">
          <v:rect id="_x0000_i1028" style="width:0;height:1.5pt" o:hralign="center" o:hrstd="t" o:hr="t" fillcolor="#a0a0a0" stroked="f"/>
        </w:pict>
      </w:r>
    </w:p>
    <w:p w14:paraId="684286FC" w14:textId="77777777" w:rsidR="00B50AB1" w:rsidRPr="00B50AB1" w:rsidRDefault="00B50AB1" w:rsidP="00B50AB1">
      <w:pPr>
        <w:rPr>
          <w:b/>
          <w:bCs/>
          <w:lang w:val="en-US"/>
        </w:rPr>
      </w:pPr>
      <w:r w:rsidRPr="00B50AB1">
        <w:rPr>
          <w:b/>
          <w:bCs/>
          <w:lang w:val="en-US"/>
        </w:rPr>
        <w:t>Footnotes</w:t>
      </w:r>
    </w:p>
    <w:p w14:paraId="5B41677C" w14:textId="77777777" w:rsidR="00B50AB1" w:rsidRPr="00B50AB1" w:rsidRDefault="00B50AB1" w:rsidP="00B50AB1">
      <w:pPr>
        <w:numPr>
          <w:ilvl w:val="0"/>
          <w:numId w:val="26"/>
        </w:numPr>
        <w:rPr>
          <w:lang w:val="en-US"/>
        </w:rPr>
      </w:pPr>
      <w:r w:rsidRPr="00B50AB1">
        <w:rPr>
          <w:lang w:val="en-US"/>
        </w:rPr>
        <w:t>Virginia Beach Economic Development analysis of attainable housing valuation scenarios, 2025.</w:t>
      </w:r>
    </w:p>
    <w:p w14:paraId="772BD623" w14:textId="77777777" w:rsidR="00B50AB1" w:rsidRPr="00B50AB1" w:rsidRDefault="00B50AB1" w:rsidP="00B50AB1">
      <w:pPr>
        <w:numPr>
          <w:ilvl w:val="0"/>
          <w:numId w:val="26"/>
        </w:numPr>
        <w:rPr>
          <w:lang w:val="en-US"/>
        </w:rPr>
      </w:pPr>
      <w:r w:rsidRPr="00B50AB1">
        <w:rPr>
          <w:lang w:val="en-US"/>
        </w:rPr>
        <w:t xml:space="preserve">City Assessor’s Office, </w:t>
      </w:r>
      <w:r w:rsidRPr="00B50AB1">
        <w:rPr>
          <w:i/>
          <w:iCs/>
          <w:lang w:val="en-US"/>
        </w:rPr>
        <w:t>FY 2025 Real Estate Tax Rate Report</w:t>
      </w:r>
      <w:r w:rsidRPr="00B50AB1">
        <w:rPr>
          <w:lang w:val="en-US"/>
        </w:rPr>
        <w:t>, City of Virginia Beach.</w:t>
      </w:r>
    </w:p>
    <w:p w14:paraId="67C2F19A" w14:textId="77777777" w:rsidR="00B50AB1" w:rsidRPr="00B50AB1" w:rsidRDefault="00B50AB1" w:rsidP="00B50AB1">
      <w:pPr>
        <w:numPr>
          <w:ilvl w:val="0"/>
          <w:numId w:val="26"/>
        </w:numPr>
        <w:rPr>
          <w:lang w:val="en-US"/>
        </w:rPr>
      </w:pPr>
      <w:r w:rsidRPr="00B50AB1">
        <w:rPr>
          <w:lang w:val="en-US"/>
        </w:rPr>
        <w:t xml:space="preserve">Virginia Beach Development Authority (VBDA), </w:t>
      </w:r>
      <w:r w:rsidRPr="00B50AB1">
        <w:rPr>
          <w:i/>
          <w:iCs/>
          <w:lang w:val="en-US"/>
        </w:rPr>
        <w:t>Attainable Workforce Housing Performance Grant Policy</w:t>
      </w:r>
      <w:r w:rsidRPr="00B50AB1">
        <w:rPr>
          <w:lang w:val="en-US"/>
        </w:rPr>
        <w:t>, 2025.</w:t>
      </w:r>
    </w:p>
    <w:p w14:paraId="3CBB8892" w14:textId="77777777" w:rsidR="00B50AB1" w:rsidRPr="00B50AB1" w:rsidRDefault="00B50AB1" w:rsidP="00B50AB1">
      <w:pPr>
        <w:numPr>
          <w:ilvl w:val="0"/>
          <w:numId w:val="26"/>
        </w:numPr>
        <w:rPr>
          <w:lang w:val="en-US"/>
        </w:rPr>
      </w:pPr>
      <w:r w:rsidRPr="00B50AB1">
        <w:rPr>
          <w:lang w:val="en-US"/>
        </w:rPr>
        <w:t xml:space="preserve">City of Virginia Beach Housing &amp; Neighborhood Preservation Department, </w:t>
      </w:r>
      <w:r w:rsidRPr="00B50AB1">
        <w:rPr>
          <w:i/>
          <w:iCs/>
          <w:lang w:val="en-US"/>
        </w:rPr>
        <w:t>Housing Needs Assessment</w:t>
      </w:r>
      <w:r w:rsidRPr="00B50AB1">
        <w:rPr>
          <w:lang w:val="en-US"/>
        </w:rPr>
        <w:t xml:space="preserve"> and </w:t>
      </w:r>
      <w:r w:rsidRPr="00B50AB1">
        <w:rPr>
          <w:i/>
          <w:iCs/>
          <w:lang w:val="en-US"/>
        </w:rPr>
        <w:t>Housing Matters Blog</w:t>
      </w:r>
      <w:r w:rsidRPr="00B50AB1">
        <w:rPr>
          <w:lang w:val="en-US"/>
        </w:rPr>
        <w:t>, 2024.</w:t>
      </w:r>
    </w:p>
    <w:p w14:paraId="01732AE6" w14:textId="77777777" w:rsidR="00B50AB1" w:rsidRPr="00B50AB1" w:rsidRDefault="00B50AB1" w:rsidP="00B50AB1">
      <w:pPr>
        <w:numPr>
          <w:ilvl w:val="0"/>
          <w:numId w:val="26"/>
        </w:numPr>
        <w:rPr>
          <w:lang w:val="en-US"/>
        </w:rPr>
      </w:pPr>
      <w:r w:rsidRPr="00B50AB1">
        <w:rPr>
          <w:lang w:val="en-US"/>
        </w:rPr>
        <w:t xml:space="preserve">Virginia Beach Department of Economic Development, </w:t>
      </w:r>
      <w:r w:rsidRPr="00B50AB1">
        <w:rPr>
          <w:i/>
          <w:iCs/>
          <w:lang w:val="en-US"/>
        </w:rPr>
        <w:t>Affordable Housing Incentive Financial Model</w:t>
      </w:r>
      <w:r w:rsidRPr="00B50AB1">
        <w:rPr>
          <w:lang w:val="en-US"/>
        </w:rPr>
        <w:t>, 2025.</w:t>
      </w:r>
    </w:p>
    <w:p w14:paraId="0871CCE2" w14:textId="009EC43C" w:rsidR="008A30F3" w:rsidRDefault="00B50AB1" w:rsidP="007D2991">
      <w:pPr>
        <w:numPr>
          <w:ilvl w:val="0"/>
          <w:numId w:val="26"/>
        </w:numPr>
      </w:pPr>
      <w:r w:rsidRPr="00D9028A">
        <w:rPr>
          <w:lang w:val="en-US"/>
        </w:rPr>
        <w:t>VBDA Grant Agreement template, Section 10, “Capital Reinvestment and Extension Conditions,” 2025.</w:t>
      </w:r>
    </w:p>
    <w:sectPr w:rsidR="008A30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A6AF2" w14:textId="77777777" w:rsidR="00660055" w:rsidRDefault="00660055">
      <w:pPr>
        <w:spacing w:after="0" w:line="240" w:lineRule="auto"/>
      </w:pPr>
      <w:r>
        <w:separator/>
      </w:r>
    </w:p>
  </w:endnote>
  <w:endnote w:type="continuationSeparator" w:id="0">
    <w:p w14:paraId="4E369377" w14:textId="77777777" w:rsidR="00660055" w:rsidRDefault="00660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ED06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F899" w14:textId="1F8F4CAA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23CA1">
      <w:rPr>
        <w:noProof/>
        <w:color w:val="000000"/>
      </w:rPr>
      <w:t>2</w:t>
    </w:r>
    <w:r>
      <w:rPr>
        <w:color w:val="000000"/>
      </w:rPr>
      <w:fldChar w:fldCharType="end"/>
    </w:r>
  </w:p>
  <w:p w14:paraId="3D4ABA1B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63E1" w14:textId="77777777" w:rsidR="00932847" w:rsidRDefault="009328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5817E" w14:textId="77777777" w:rsidR="00660055" w:rsidRDefault="00660055">
      <w:pPr>
        <w:spacing w:after="0" w:line="240" w:lineRule="auto"/>
      </w:pPr>
      <w:r>
        <w:separator/>
      </w:r>
    </w:p>
  </w:footnote>
  <w:footnote w:type="continuationSeparator" w:id="0">
    <w:p w14:paraId="53A71FAB" w14:textId="77777777" w:rsidR="00660055" w:rsidRDefault="00660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91A0D" w14:textId="4CF16894" w:rsidR="00007A44" w:rsidRDefault="001C61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FA9420F" wp14:editId="3B580BDF">
          <wp:simplePos x="0" y="0"/>
          <wp:positionH relativeFrom="column">
            <wp:posOffset>-257174</wp:posOffset>
          </wp:positionH>
          <wp:positionV relativeFrom="paragraph">
            <wp:posOffset>-137159</wp:posOffset>
          </wp:positionV>
          <wp:extent cx="1995170" cy="2095500"/>
          <wp:effectExtent l="0" t="0" r="0" b="0"/>
          <wp:wrapNone/>
          <wp:docPr id="950375145" name="image2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2E93DA9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58EF6D89" w14:textId="77777777" w:rsidR="00007A44" w:rsidRDefault="00007A44">
    <w:pPr>
      <w:spacing w:after="0" w:line="240" w:lineRule="auto"/>
      <w:ind w:left="3600"/>
      <w:rPr>
        <w:rFonts w:ascii="Aptos" w:eastAsia="Aptos" w:hAnsi="Aptos" w:cs="Aptos"/>
      </w:rPr>
    </w:pPr>
  </w:p>
  <w:p w14:paraId="744A053F" w14:textId="77777777" w:rsidR="00007A44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56B831FA" w14:textId="77777777" w:rsidR="00007A44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736239D4" w14:textId="77777777" w:rsidR="00007A44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1A517D71" w14:textId="77777777" w:rsidR="00007A44" w:rsidRDefault="00000000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4346229B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4AA63E1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6BC4" w14:textId="6445D898" w:rsidR="00007A44" w:rsidRDefault="001C61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3BCC3C5C" wp14:editId="253460CD">
          <wp:simplePos x="0" y="0"/>
          <wp:positionH relativeFrom="column">
            <wp:posOffset>-619124</wp:posOffset>
          </wp:positionH>
          <wp:positionV relativeFrom="paragraph">
            <wp:posOffset>-123824</wp:posOffset>
          </wp:positionV>
          <wp:extent cx="1095375" cy="1040130"/>
          <wp:effectExtent l="0" t="0" r="0" b="0"/>
          <wp:wrapSquare wrapText="bothSides" distT="0" distB="0" distL="114300" distR="114300"/>
          <wp:docPr id="950375146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0D0670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3BBCAE0F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506E5834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343AAC2A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49EBA8F7" w14:textId="77777777" w:rsidR="00007A44" w:rsidRDefault="00007A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AB720" w14:textId="394CCEC8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sdt>
      <w:sdtPr>
        <w:rPr>
          <w:b/>
          <w:color w:val="000000"/>
          <w:sz w:val="36"/>
          <w:szCs w:val="36"/>
        </w:rPr>
        <w:id w:val="-1798373381"/>
        <w:docPartObj>
          <w:docPartGallery w:val="Watermarks"/>
          <w:docPartUnique/>
        </w:docPartObj>
      </w:sdtPr>
      <w:sdtContent>
        <w:r>
          <w:rPr>
            <w:b/>
            <w:noProof/>
            <w:color w:val="000000"/>
            <w:sz w:val="36"/>
            <w:szCs w:val="36"/>
          </w:rPr>
          <w:pict w14:anchorId="67A88A6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F77E1">
      <w:rPr>
        <w:noProof/>
      </w:rPr>
      <w:drawing>
        <wp:anchor distT="0" distB="0" distL="114300" distR="114300" simplePos="0" relativeHeight="251657216" behindDoc="0" locked="0" layoutInCell="1" hidden="0" allowOverlap="1" wp14:anchorId="657267F8" wp14:editId="15E8D20D">
          <wp:simplePos x="0" y="0"/>
          <wp:positionH relativeFrom="column">
            <wp:posOffset>-695325</wp:posOffset>
          </wp:positionH>
          <wp:positionV relativeFrom="paragraph">
            <wp:posOffset>-123825</wp:posOffset>
          </wp:positionV>
          <wp:extent cx="1228725" cy="1233170"/>
          <wp:effectExtent l="0" t="0" r="9525" b="5080"/>
          <wp:wrapSquare wrapText="bothSides" distT="0" distB="0" distL="114300" distR="114300"/>
          <wp:docPr id="950375144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77E1">
      <w:rPr>
        <w:b/>
        <w:color w:val="000000"/>
        <w:sz w:val="36"/>
        <w:szCs w:val="36"/>
      </w:rPr>
      <w:t>Virginia Beach Council of Civic Organizations</w:t>
    </w:r>
  </w:p>
  <w:p w14:paraId="52BFF3CE" w14:textId="1E1316F6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</w:t>
    </w:r>
    <w:r w:rsidR="0023221C">
      <w:rPr>
        <w:color w:val="000000"/>
      </w:rPr>
      <w:t>6</w:t>
    </w:r>
    <w:r>
      <w:rPr>
        <w:color w:val="000000"/>
      </w:rPr>
      <w:t xml:space="preserve"> years</w:t>
    </w:r>
  </w:p>
  <w:p w14:paraId="28F913FB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76805E78" w14:textId="77777777" w:rsidR="00007A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002948EF" w14:textId="0AAA0B19" w:rsidR="00007A44" w:rsidRDefault="00DF06CA" w:rsidP="00DF06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 w:history="1">
      <w:r w:rsidRPr="00D840F3">
        <w:rPr>
          <w:rStyle w:val="Hyperlink"/>
        </w:rPr>
        <w:t>www.vbcco.org</w:t>
      </w:r>
    </w:hyperlink>
  </w:p>
  <w:p w14:paraId="02130A94" w14:textId="77777777" w:rsidR="00DF06CA" w:rsidRDefault="00DF06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7B5"/>
    <w:multiLevelType w:val="multilevel"/>
    <w:tmpl w:val="CB92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D7671"/>
    <w:multiLevelType w:val="multilevel"/>
    <w:tmpl w:val="21A2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A3569"/>
    <w:multiLevelType w:val="multilevel"/>
    <w:tmpl w:val="5E2E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F07AD"/>
    <w:multiLevelType w:val="hybridMultilevel"/>
    <w:tmpl w:val="4856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6063"/>
    <w:multiLevelType w:val="multilevel"/>
    <w:tmpl w:val="F33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345295"/>
    <w:multiLevelType w:val="multilevel"/>
    <w:tmpl w:val="A472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36D92"/>
    <w:multiLevelType w:val="multilevel"/>
    <w:tmpl w:val="A9C6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42B83"/>
    <w:multiLevelType w:val="multilevel"/>
    <w:tmpl w:val="DFC66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A446DF"/>
    <w:multiLevelType w:val="multilevel"/>
    <w:tmpl w:val="E6A2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427EE5"/>
    <w:multiLevelType w:val="hybridMultilevel"/>
    <w:tmpl w:val="A8FE9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57F2B"/>
    <w:multiLevelType w:val="multilevel"/>
    <w:tmpl w:val="D71A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07AD7"/>
    <w:multiLevelType w:val="hybridMultilevel"/>
    <w:tmpl w:val="86CCB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272AF"/>
    <w:multiLevelType w:val="multilevel"/>
    <w:tmpl w:val="F02A21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D04806"/>
    <w:multiLevelType w:val="multilevel"/>
    <w:tmpl w:val="A9D2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7A70F5"/>
    <w:multiLevelType w:val="multilevel"/>
    <w:tmpl w:val="4C60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A374A"/>
    <w:multiLevelType w:val="multilevel"/>
    <w:tmpl w:val="8FB2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D320F"/>
    <w:multiLevelType w:val="multilevel"/>
    <w:tmpl w:val="4E14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3C1DDF"/>
    <w:multiLevelType w:val="multilevel"/>
    <w:tmpl w:val="5A40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832B71"/>
    <w:multiLevelType w:val="multilevel"/>
    <w:tmpl w:val="A0C4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F15BC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1D93F33"/>
    <w:multiLevelType w:val="multilevel"/>
    <w:tmpl w:val="7ECA7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625C22"/>
    <w:multiLevelType w:val="hybridMultilevel"/>
    <w:tmpl w:val="86CCB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C0309"/>
    <w:multiLevelType w:val="multilevel"/>
    <w:tmpl w:val="2242AD2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20664A"/>
    <w:multiLevelType w:val="multilevel"/>
    <w:tmpl w:val="DB62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06295F"/>
    <w:multiLevelType w:val="multilevel"/>
    <w:tmpl w:val="921C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B12D01"/>
    <w:multiLevelType w:val="hybridMultilevel"/>
    <w:tmpl w:val="86CCB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51C1A"/>
    <w:multiLevelType w:val="multilevel"/>
    <w:tmpl w:val="85F2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157B8"/>
    <w:multiLevelType w:val="multilevel"/>
    <w:tmpl w:val="015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1053F9"/>
    <w:multiLevelType w:val="multilevel"/>
    <w:tmpl w:val="A228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6180452">
    <w:abstractNumId w:val="0"/>
  </w:num>
  <w:num w:numId="2" w16cid:durableId="1831172499">
    <w:abstractNumId w:val="12"/>
  </w:num>
  <w:num w:numId="3" w16cid:durableId="909727048">
    <w:abstractNumId w:val="22"/>
  </w:num>
  <w:num w:numId="4" w16cid:durableId="1724214973">
    <w:abstractNumId w:val="4"/>
  </w:num>
  <w:num w:numId="5" w16cid:durableId="55520196">
    <w:abstractNumId w:val="8"/>
  </w:num>
  <w:num w:numId="6" w16cid:durableId="506015855">
    <w:abstractNumId w:val="16"/>
  </w:num>
  <w:num w:numId="7" w16cid:durableId="268707628">
    <w:abstractNumId w:val="19"/>
  </w:num>
  <w:num w:numId="8" w16cid:durableId="1375159728">
    <w:abstractNumId w:val="26"/>
  </w:num>
  <w:num w:numId="9" w16cid:durableId="467434762">
    <w:abstractNumId w:val="18"/>
  </w:num>
  <w:num w:numId="10" w16cid:durableId="695078303">
    <w:abstractNumId w:val="17"/>
  </w:num>
  <w:num w:numId="11" w16cid:durableId="1011420177">
    <w:abstractNumId w:val="15"/>
  </w:num>
  <w:num w:numId="12" w16cid:durableId="417404856">
    <w:abstractNumId w:val="2"/>
  </w:num>
  <w:num w:numId="13" w16cid:durableId="1766880258">
    <w:abstractNumId w:val="5"/>
  </w:num>
  <w:num w:numId="14" w16cid:durableId="346519499">
    <w:abstractNumId w:val="14"/>
  </w:num>
  <w:num w:numId="15" w16cid:durableId="548493977">
    <w:abstractNumId w:val="1"/>
  </w:num>
  <w:num w:numId="16" w16cid:durableId="907961055">
    <w:abstractNumId w:val="9"/>
  </w:num>
  <w:num w:numId="17" w16cid:durableId="696925959">
    <w:abstractNumId w:val="3"/>
  </w:num>
  <w:num w:numId="18" w16cid:durableId="1608075210">
    <w:abstractNumId w:val="21"/>
  </w:num>
  <w:num w:numId="19" w16cid:durableId="1839344631">
    <w:abstractNumId w:val="11"/>
  </w:num>
  <w:num w:numId="20" w16cid:durableId="907761890">
    <w:abstractNumId w:val="25"/>
  </w:num>
  <w:num w:numId="21" w16cid:durableId="700667367">
    <w:abstractNumId w:val="28"/>
  </w:num>
  <w:num w:numId="22" w16cid:durableId="531655098">
    <w:abstractNumId w:val="23"/>
  </w:num>
  <w:num w:numId="23" w16cid:durableId="1797791406">
    <w:abstractNumId w:val="20"/>
  </w:num>
  <w:num w:numId="24" w16cid:durableId="246886273">
    <w:abstractNumId w:val="13"/>
  </w:num>
  <w:num w:numId="25" w16cid:durableId="2030181695">
    <w:abstractNumId w:val="24"/>
  </w:num>
  <w:num w:numId="26" w16cid:durableId="938023732">
    <w:abstractNumId w:val="7"/>
  </w:num>
  <w:num w:numId="27" w16cid:durableId="1847087131">
    <w:abstractNumId w:val="10"/>
  </w:num>
  <w:num w:numId="28" w16cid:durableId="1876694751">
    <w:abstractNumId w:val="27"/>
  </w:num>
  <w:num w:numId="29" w16cid:durableId="15540734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A44"/>
    <w:rsid w:val="00007A44"/>
    <w:rsid w:val="0001533B"/>
    <w:rsid w:val="0002618F"/>
    <w:rsid w:val="0003522A"/>
    <w:rsid w:val="0003566E"/>
    <w:rsid w:val="000A6755"/>
    <w:rsid w:val="000C6EC3"/>
    <w:rsid w:val="001156A4"/>
    <w:rsid w:val="00156327"/>
    <w:rsid w:val="0019295F"/>
    <w:rsid w:val="001C02CD"/>
    <w:rsid w:val="001C31C5"/>
    <w:rsid w:val="001C6137"/>
    <w:rsid w:val="001D104E"/>
    <w:rsid w:val="00223CA1"/>
    <w:rsid w:val="0023221C"/>
    <w:rsid w:val="002538BC"/>
    <w:rsid w:val="003529EE"/>
    <w:rsid w:val="003917CA"/>
    <w:rsid w:val="003F77E1"/>
    <w:rsid w:val="00432612"/>
    <w:rsid w:val="00433784"/>
    <w:rsid w:val="004559A9"/>
    <w:rsid w:val="004B27C5"/>
    <w:rsid w:val="00521524"/>
    <w:rsid w:val="00564EC4"/>
    <w:rsid w:val="005C717B"/>
    <w:rsid w:val="005E2F3E"/>
    <w:rsid w:val="00610635"/>
    <w:rsid w:val="00614979"/>
    <w:rsid w:val="006322E7"/>
    <w:rsid w:val="00660055"/>
    <w:rsid w:val="00671465"/>
    <w:rsid w:val="006A4028"/>
    <w:rsid w:val="006E78D1"/>
    <w:rsid w:val="00713D1E"/>
    <w:rsid w:val="007507DC"/>
    <w:rsid w:val="00774474"/>
    <w:rsid w:val="007D3195"/>
    <w:rsid w:val="008A30F3"/>
    <w:rsid w:val="008B5F40"/>
    <w:rsid w:val="008C205A"/>
    <w:rsid w:val="00914B94"/>
    <w:rsid w:val="00932847"/>
    <w:rsid w:val="0097141B"/>
    <w:rsid w:val="009A65C1"/>
    <w:rsid w:val="009B6DA3"/>
    <w:rsid w:val="009D60E5"/>
    <w:rsid w:val="00A35813"/>
    <w:rsid w:val="00A65AFD"/>
    <w:rsid w:val="00AC14E6"/>
    <w:rsid w:val="00B05AA7"/>
    <w:rsid w:val="00B50AB1"/>
    <w:rsid w:val="00B71C4D"/>
    <w:rsid w:val="00B74AF9"/>
    <w:rsid w:val="00BD57E0"/>
    <w:rsid w:val="00BE29BF"/>
    <w:rsid w:val="00CD0066"/>
    <w:rsid w:val="00CF0F57"/>
    <w:rsid w:val="00CF54EA"/>
    <w:rsid w:val="00D44225"/>
    <w:rsid w:val="00D9028A"/>
    <w:rsid w:val="00DC596E"/>
    <w:rsid w:val="00DF06CA"/>
    <w:rsid w:val="00E36090"/>
    <w:rsid w:val="00E845D9"/>
    <w:rsid w:val="00F3793B"/>
    <w:rsid w:val="00F565C0"/>
    <w:rsid w:val="00F842C1"/>
    <w:rsid w:val="00F92F29"/>
    <w:rsid w:val="00FA1FA1"/>
    <w:rsid w:val="00FD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4BB41"/>
  <w15:docId w15:val="{208995B3-5178-45B1-A4F6-6FC26424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VBCCOH1">
    <w:name w:val="VBCCO H1"/>
    <w:rsid w:val="00156327"/>
    <w:pPr>
      <w:spacing w:after="200" w:line="276" w:lineRule="auto"/>
    </w:pPr>
    <w:rPr>
      <w:rFonts w:eastAsiaTheme="minorEastAsia" w:cstheme="minorBidi"/>
      <w:b/>
      <w:sz w:val="28"/>
      <w:lang w:val="en-US"/>
    </w:rPr>
  </w:style>
  <w:style w:type="paragraph" w:customStyle="1" w:styleId="VBCCOBody">
    <w:name w:val="VBCCO Body"/>
    <w:rsid w:val="00156327"/>
    <w:pPr>
      <w:spacing w:after="200" w:line="276" w:lineRule="auto"/>
    </w:pPr>
    <w:rPr>
      <w:rFonts w:eastAsiaTheme="minorEastAsia" w:cstheme="minorBidi"/>
      <w:lang w:val="en-US"/>
    </w:rPr>
  </w:style>
  <w:style w:type="paragraph" w:customStyle="1" w:styleId="VBCCOH2">
    <w:name w:val="VBCCO H2"/>
    <w:rsid w:val="00156327"/>
    <w:pPr>
      <w:spacing w:after="200" w:line="276" w:lineRule="auto"/>
    </w:pPr>
    <w:rPr>
      <w:rFonts w:eastAsiaTheme="minorEastAsia" w:cstheme="minorBidi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1742</Words>
  <Characters>9934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Networks, Inc.</Company>
  <LinksUpToDate>false</LinksUpToDate>
  <CharactersWithSpaces>11653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3</cp:revision>
  <dcterms:created xsi:type="dcterms:W3CDTF">2025-10-12T17:32:00Z</dcterms:created>
  <dcterms:modified xsi:type="dcterms:W3CDTF">2025-10-12T23:39:00Z</dcterms:modified>
</cp:coreProperties>
</file>