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66DC0D" w14:textId="15BFA554" w:rsidR="00553DBF" w:rsidRPr="00804D2B" w:rsidRDefault="00C93B11" w:rsidP="00C93B11">
      <w:pPr>
        <w:spacing w:after="0" w:line="240" w:lineRule="auto"/>
        <w:jc w:val="center"/>
        <w:rPr>
          <w:rFonts w:ascii="Aptos" w:hAnsi="Aptos" w:cs="Aparajita"/>
          <w:b/>
          <w:bCs/>
          <w:sz w:val="28"/>
          <w:szCs w:val="28"/>
        </w:rPr>
      </w:pPr>
      <w:r w:rsidRPr="00C93B11">
        <w:rPr>
          <w:rFonts w:ascii="Aptos" w:hAnsi="Aptos" w:cs="Aparajita"/>
          <w:b/>
          <w:bCs/>
          <w:sz w:val="36"/>
          <w:szCs w:val="36"/>
        </w:rPr>
        <w:t>Attainable Workforce Housing Program</w:t>
      </w:r>
    </w:p>
    <w:p w14:paraId="15EF0037" w14:textId="07FA0241" w:rsidR="00804D2B" w:rsidRPr="00804D2B" w:rsidRDefault="00804D2B" w:rsidP="00C93B11">
      <w:pPr>
        <w:spacing w:after="0" w:line="240" w:lineRule="auto"/>
        <w:jc w:val="center"/>
        <w:rPr>
          <w:rFonts w:ascii="Aptos" w:hAnsi="Aptos" w:cs="Aparajita"/>
          <w:b/>
          <w:bCs/>
          <w:sz w:val="28"/>
          <w:szCs w:val="28"/>
        </w:rPr>
      </w:pPr>
      <w:r w:rsidRPr="00804D2B">
        <w:rPr>
          <w:rFonts w:ascii="Aptos" w:hAnsi="Aptos" w:cs="Aparajita"/>
          <w:b/>
          <w:bCs/>
          <w:sz w:val="28"/>
          <w:szCs w:val="28"/>
        </w:rPr>
        <w:t>Does It Do What It Is Supposed To</w:t>
      </w:r>
    </w:p>
    <w:p w14:paraId="53E37802" w14:textId="2CFB1161" w:rsidR="00804D2B" w:rsidRPr="00804D2B" w:rsidRDefault="00804D2B" w:rsidP="00C93B11">
      <w:pPr>
        <w:spacing w:after="0" w:line="240" w:lineRule="auto"/>
        <w:jc w:val="center"/>
        <w:rPr>
          <w:rFonts w:ascii="Aptos" w:hAnsi="Aptos" w:cs="Aparajita"/>
          <w:b/>
          <w:bCs/>
          <w:sz w:val="28"/>
          <w:szCs w:val="28"/>
        </w:rPr>
      </w:pPr>
      <w:r w:rsidRPr="00804D2B">
        <w:rPr>
          <w:rFonts w:ascii="Aptos" w:hAnsi="Aptos" w:cs="Aparajita"/>
          <w:b/>
          <w:bCs/>
          <w:sz w:val="28"/>
          <w:szCs w:val="28"/>
        </w:rPr>
        <w:t>At What Cost To The Taxpayer</w:t>
      </w:r>
    </w:p>
    <w:p w14:paraId="633F28E1" w14:textId="77777777" w:rsidR="00C93B11" w:rsidRDefault="00C93B11" w:rsidP="00C93B11">
      <w:pPr>
        <w:spacing w:after="0" w:line="240" w:lineRule="auto"/>
        <w:jc w:val="center"/>
        <w:rPr>
          <w:rFonts w:ascii="Aptos" w:hAnsi="Aptos" w:cs="Aparajita"/>
          <w:b/>
          <w:bCs/>
          <w:sz w:val="36"/>
          <w:szCs w:val="36"/>
        </w:rPr>
      </w:pPr>
    </w:p>
    <w:p w14:paraId="5A2BF7FD" w14:textId="77777777" w:rsidR="00C93B11" w:rsidRPr="00C93B11" w:rsidRDefault="00C93B11" w:rsidP="00C93B1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1) What incomes does the program target—and do they match our workforce?</w:t>
      </w:r>
    </w:p>
    <w:p w14:paraId="63D599B9" w14:textId="77777777" w:rsidR="00C93B11" w:rsidRPr="00C93B11" w:rsidRDefault="00C93B11" w:rsidP="00C93B1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 xml:space="preserve">Per the City’s own AWHP deck, “workforce” affordability is keyed to 50–80% of Area Median Income (AMI). For 2025, the income caps are (examples): 1-person at 60% AMI = $44,760; 80% AMI = $59,680. For 2-person households, 60% = $51,120; 80% = $68,160 (see the 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Silo affordability table, slide p.13</w:t>
      </w:r>
      <w:r w:rsidRPr="00C93B11">
        <w:rPr>
          <w:rFonts w:ascii="Aptos" w:hAnsi="Aptos" w:cs="Aparajita"/>
          <w:sz w:val="24"/>
          <w:szCs w:val="24"/>
          <w:lang w:val="en-US"/>
        </w:rPr>
        <w:t>). If we translate those to affordable rents at the standard 30% of gross income, we’re roughly here:</w:t>
      </w:r>
    </w:p>
    <w:p w14:paraId="147745DF" w14:textId="77777777" w:rsidR="00C93B11" w:rsidRPr="00C93B11" w:rsidRDefault="00C93B11" w:rsidP="00C93B11">
      <w:pPr>
        <w:numPr>
          <w:ilvl w:val="0"/>
          <w:numId w:val="8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>1-person: 50% AMI ≈ $932/</w:t>
      </w:r>
      <w:proofErr w:type="spellStart"/>
      <w:r w:rsidRPr="00C93B11">
        <w:rPr>
          <w:rFonts w:ascii="Aptos" w:hAnsi="Aptos" w:cs="Aparajita"/>
          <w:sz w:val="24"/>
          <w:szCs w:val="24"/>
          <w:lang w:val="en-US"/>
        </w:rPr>
        <w:t>mo</w:t>
      </w:r>
      <w:proofErr w:type="spellEnd"/>
      <w:r w:rsidRPr="00C93B11">
        <w:rPr>
          <w:rFonts w:ascii="Aptos" w:hAnsi="Aptos" w:cs="Aparajita"/>
          <w:sz w:val="24"/>
          <w:szCs w:val="24"/>
          <w:lang w:val="en-US"/>
        </w:rPr>
        <w:t>; 60% ≈ $1,119; 80% ≈ $1,492.</w:t>
      </w:r>
    </w:p>
    <w:p w14:paraId="3EC0328F" w14:textId="77777777" w:rsidR="00C93B11" w:rsidRPr="00C93B11" w:rsidRDefault="00C93B11" w:rsidP="00C93B11">
      <w:pPr>
        <w:numPr>
          <w:ilvl w:val="0"/>
          <w:numId w:val="8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>2-person: 50% ≈ $1,065; 60% ≈ $1,278; 80% ≈ $1,704.</w:t>
      </w:r>
      <w:r w:rsidRPr="00C93B11">
        <w:rPr>
          <w:rFonts w:ascii="Aptos" w:hAnsi="Aptos" w:cs="Aparajita"/>
          <w:sz w:val="24"/>
          <w:szCs w:val="24"/>
          <w:lang w:val="en-US"/>
        </w:rPr>
        <w:br/>
        <w:t>For context, the deck also cites median VB rent ≈ $1,730/</w:t>
      </w:r>
      <w:proofErr w:type="spellStart"/>
      <w:r w:rsidRPr="00C93B11">
        <w:rPr>
          <w:rFonts w:ascii="Aptos" w:hAnsi="Aptos" w:cs="Aparajita"/>
          <w:sz w:val="24"/>
          <w:szCs w:val="24"/>
          <w:lang w:val="en-US"/>
        </w:rPr>
        <w:t>mo</w:t>
      </w:r>
      <w:proofErr w:type="spellEnd"/>
      <w:r w:rsidRPr="00C93B11">
        <w:rPr>
          <w:rFonts w:ascii="Aptos" w:hAnsi="Aptos" w:cs="Aparajita"/>
          <w:sz w:val="24"/>
          <w:szCs w:val="24"/>
          <w:lang w:val="en-US"/>
        </w:rPr>
        <w:t xml:space="preserve"> (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slide p.3</w:t>
      </w:r>
      <w:r w:rsidRPr="00C93B11">
        <w:rPr>
          <w:rFonts w:ascii="Aptos" w:hAnsi="Aptos" w:cs="Aparajita"/>
          <w:sz w:val="24"/>
          <w:szCs w:val="24"/>
          <w:lang w:val="en-US"/>
        </w:rPr>
        <w:t>). So units priced for 60–80% AMI are below current median rent and plausibly attainable for entry/mid-career public servants.¹</w:t>
      </w:r>
    </w:p>
    <w:p w14:paraId="6E607AC7" w14:textId="77777777" w:rsidR="00C93B11" w:rsidRPr="00C93B11" w:rsidRDefault="00C93B11" w:rsidP="00C93B1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>Implication:</w:t>
      </w:r>
    </w:p>
    <w:p w14:paraId="0653148A" w14:textId="77777777" w:rsidR="00C93B11" w:rsidRPr="00C93B11" w:rsidRDefault="00C93B11" w:rsidP="00C93B11">
      <w:pPr>
        <w:numPr>
          <w:ilvl w:val="0"/>
          <w:numId w:val="9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Single officers, teachers, firefighters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in early/mid pay bands typically land between ~60–80% AMI for a 1- to 2-person household. Those bands fit the program’s 60–80% tiers, not the 50% tier.</w:t>
      </w:r>
    </w:p>
    <w:p w14:paraId="3C47A981" w14:textId="77777777" w:rsidR="00C93B11" w:rsidRPr="00C93B11" w:rsidRDefault="00C93B11" w:rsidP="00C93B11">
      <w:pPr>
        <w:numPr>
          <w:ilvl w:val="0"/>
          <w:numId w:val="9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Families with kids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(3–4 person households) at a single public-sector income may need the 60% band to keep housing cost ≤30% of income; 80% AMI rents improve headroom but 2–3BR pricing pressure remains—i.e., the program helps, but it doesn’t erase the squeeze.²</w:t>
      </w:r>
    </w:p>
    <w:p w14:paraId="543663F0" w14:textId="77777777" w:rsidR="00C93B11" w:rsidRDefault="00C93B11" w:rsidP="00C93B1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</w:p>
    <w:p w14:paraId="243E9C9F" w14:textId="1CAA817D" w:rsidR="00C93B11" w:rsidRPr="00C93B11" w:rsidRDefault="00C93B11" w:rsidP="00C93B1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2) Will The Silo (200 units) meet that workforce need?</w:t>
      </w:r>
    </w:p>
    <w:p w14:paraId="110B42AD" w14:textId="77777777" w:rsidR="00C93B11" w:rsidRPr="00C93B11" w:rsidRDefault="00C93B11" w:rsidP="00C93B11">
      <w:pPr>
        <w:numPr>
          <w:ilvl w:val="0"/>
          <w:numId w:val="1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 xml:space="preserve">Program fit: The Silo is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100% affordable with an average of 60% AMI</w:t>
      </w:r>
      <w:r w:rsidRPr="00C93B11">
        <w:rPr>
          <w:rFonts w:ascii="Aptos" w:hAnsi="Aptos" w:cs="Aparajita"/>
          <w:sz w:val="24"/>
          <w:szCs w:val="24"/>
          <w:lang w:val="en-US"/>
        </w:rPr>
        <w:t>, with units allowable across 50–80% AMI per the City’s slide deck (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slides p.13–15</w:t>
      </w:r>
      <w:r w:rsidRPr="00C93B11">
        <w:rPr>
          <w:rFonts w:ascii="Aptos" w:hAnsi="Aptos" w:cs="Aparajita"/>
          <w:sz w:val="24"/>
          <w:szCs w:val="24"/>
          <w:lang w:val="en-US"/>
        </w:rPr>
        <w:t>). That profile aligns with the salary bands discussed above—especially singles/couples in police, fire, teaching, and public works.³</w:t>
      </w:r>
    </w:p>
    <w:p w14:paraId="7809A230" w14:textId="77777777" w:rsidR="00C93B11" w:rsidRPr="00C93B11" w:rsidRDefault="00C93B11" w:rsidP="00C93B11">
      <w:pPr>
        <w:numPr>
          <w:ilvl w:val="0"/>
          <w:numId w:val="1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 xml:space="preserve">Scale vs. need: Even if the City is short ~3,000 units,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200 units = ~6.7%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of the gap. It helps—but it’s </w:t>
      </w:r>
      <w:proofErr w:type="spellStart"/>
      <w:r w:rsidRPr="00C93B11">
        <w:rPr>
          <w:rFonts w:ascii="Aptos" w:hAnsi="Aptos" w:cs="Aparajita"/>
          <w:sz w:val="24"/>
          <w:szCs w:val="24"/>
          <w:lang w:val="en-US"/>
        </w:rPr>
        <w:t>a</w:t>
      </w:r>
      <w:proofErr w:type="spellEnd"/>
      <w:r w:rsidRPr="00C93B11">
        <w:rPr>
          <w:rFonts w:ascii="Aptos" w:hAnsi="Aptos" w:cs="Aparajita"/>
          <w:sz w:val="24"/>
          <w:szCs w:val="24"/>
          <w:lang w:val="en-US"/>
        </w:rPr>
        <w:t xml:space="preserve"> incremental dent, not a cure-all.⁴</w:t>
      </w:r>
    </w:p>
    <w:p w14:paraId="5E248001" w14:textId="77777777" w:rsidR="00C93B11" w:rsidRDefault="00C93B11" w:rsidP="00C93B1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</w:p>
    <w:p w14:paraId="24A0063F" w14:textId="45A4CBA0" w:rsidR="00C93B11" w:rsidRPr="00C93B11" w:rsidRDefault="00C93B11" w:rsidP="00C93B1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3) What about a 250-unit project (the “best-case” scenario memo)?</w:t>
      </w:r>
    </w:p>
    <w:p w14:paraId="2A1C6DA3" w14:textId="77777777" w:rsidR="00C93B11" w:rsidRPr="00C93B11" w:rsidRDefault="00C93B11" w:rsidP="00C93B11">
      <w:pPr>
        <w:numPr>
          <w:ilvl w:val="0"/>
          <w:numId w:val="11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 xml:space="preserve">A VB-specific 250-unit scenario (developer-optimized affordability mix) shows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~$510k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in Year-1 incremental property tax being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rebated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to the developer via AWHP;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15-year cumulative foregone taxes ≈ $9–10M; 30-year ≈ $24M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(City still keeps only the pre-development “base” land tax—~$24k/yr in that model). The public gets units; the City trades away most new tax revenue for 15–30 years.⁵</w:t>
      </w:r>
    </w:p>
    <w:p w14:paraId="3EBEA578" w14:textId="77777777" w:rsidR="00C93B11" w:rsidRDefault="00C93B11" w:rsidP="00C93B1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</w:p>
    <w:p w14:paraId="1FA6DC62" w14:textId="32DECF20" w:rsidR="00C93B11" w:rsidRPr="00C93B11" w:rsidRDefault="00C93B11" w:rsidP="00C93B1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lastRenderedPageBreak/>
        <w:t>4) Taxpayer impact—who carries the load while grants rebate the new taxes?</w:t>
      </w:r>
    </w:p>
    <w:p w14:paraId="5F617118" w14:textId="77777777" w:rsidR="00C93B11" w:rsidRPr="00C93B11" w:rsidRDefault="00C93B11" w:rsidP="00C93B11">
      <w:pPr>
        <w:numPr>
          <w:ilvl w:val="0"/>
          <w:numId w:val="12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The Silo (200 units):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the deck projects a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100% rebate of the incremental real-estate tax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in Year 1—about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$216,179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rebated; the City keeps only the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base $47,821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land tax. Terms contemplate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30 years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(with a conditional second 15). During the grant window, residents in these units consume services while the “new” taxes their building generates are mostly rebated—meaning the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general fund (largely financed by existing residents)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must still cover schools, police/EMS, roads, etc.⁶</w:t>
      </w:r>
    </w:p>
    <w:p w14:paraId="383C8939" w14:textId="77777777" w:rsidR="00C93B11" w:rsidRPr="00C93B11" w:rsidRDefault="00C93B11" w:rsidP="00C93B11">
      <w:pPr>
        <w:numPr>
          <w:ilvl w:val="0"/>
          <w:numId w:val="12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Civic equity lens: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The AWHP is framed as “self-funding” (rebating only the 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incremental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taxes). Practically, that still equals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foregone revenue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that could otherwise defray service costs or moderate future tax pressure on everyone else. Scale this across multiple projects and the opportunity cost becomes material over 15–30 years.⁷</w:t>
      </w:r>
    </w:p>
    <w:p w14:paraId="1F9F2B4B" w14:textId="77777777" w:rsidR="00C93B11" w:rsidRDefault="00C93B11" w:rsidP="00C93B1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</w:p>
    <w:p w14:paraId="056931F1" w14:textId="6EF74857" w:rsidR="00C93B11" w:rsidRPr="00C93B11" w:rsidRDefault="00C93B11" w:rsidP="00C93B1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5) Can this help retention of police, fire, teachers, public works?</w:t>
      </w:r>
    </w:p>
    <w:p w14:paraId="2FADA30C" w14:textId="77777777" w:rsidR="00C93B11" w:rsidRPr="00C93B11" w:rsidRDefault="00C93B11" w:rsidP="00C93B1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Yes—partially.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Given the AMI bands and rent math, The Silo’s 60–80% AMI targeting fits many early/mid-career public servants (singles/couples) and some families where there are two incomes. Where this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won’t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fully solve it: single-income families seeking larger units near job centers; and long-term retention if rent escalation outpaces wage growth (even within AMI caps).</w:t>
      </w:r>
    </w:p>
    <w:p w14:paraId="6C1B7EE9" w14:textId="77777777" w:rsidR="00C93B11" w:rsidRDefault="00C93B11" w:rsidP="00C93B1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</w:p>
    <w:p w14:paraId="3354DB8D" w14:textId="384C8F20" w:rsidR="00C93B11" w:rsidRPr="00C93B11" w:rsidRDefault="00C93B11" w:rsidP="00C93B1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6) Benchmarking—Richmond model (the template for VB AWHP)</w:t>
      </w:r>
    </w:p>
    <w:p w14:paraId="5977820B" w14:textId="77777777" w:rsidR="00C93B11" w:rsidRPr="00C93B11" w:rsidRDefault="00C93B11" w:rsidP="00C93B1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>Richmond’s similar program reportedly catalyzed many projects by rebating incremental real-estate taxes for 15–30 years—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but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it has drawn scrutiny for the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long revenue holiday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granted to new developments. VB’s AWHP mirrors that architecture; your brief flags both the upside (unit creation) and the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tax-base deferral risk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if grants are widely deployed at 100%. Translation: it’s an effective production tool that demands guardrails (caps, performance audits, transparent annual reporting).⁸</w:t>
      </w:r>
    </w:p>
    <w:p w14:paraId="470D10AB" w14:textId="77777777" w:rsidR="00C93B11" w:rsidRDefault="00C93B11" w:rsidP="00C93B1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</w:p>
    <w:p w14:paraId="58C4C752" w14:textId="75E0AB00" w:rsidR="00C93B11" w:rsidRPr="00C93B11" w:rsidRDefault="00C93B11" w:rsidP="00C93B1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7) Net assessment—pros, cons, and options</w:t>
      </w:r>
    </w:p>
    <w:p w14:paraId="101F8123" w14:textId="77777777" w:rsidR="00C93B11" w:rsidRPr="00C93B11" w:rsidRDefault="00C93B11" w:rsidP="00C93B1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Value proposition (Pros)</w:t>
      </w:r>
    </w:p>
    <w:p w14:paraId="23A9E838" w14:textId="77777777" w:rsidR="00C93B11" w:rsidRPr="00C93B11" w:rsidRDefault="00C93B11" w:rsidP="00C93B11">
      <w:pPr>
        <w:numPr>
          <w:ilvl w:val="0"/>
          <w:numId w:val="13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Directly addresses workforce bands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(50–80% AMI), improving affordability for early/mid-career public servants. (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Silo’s unit mix aligns to this.</w:t>
      </w:r>
      <w:r w:rsidRPr="00C93B11">
        <w:rPr>
          <w:rFonts w:ascii="Aptos" w:hAnsi="Aptos" w:cs="Aparajita"/>
          <w:sz w:val="24"/>
          <w:szCs w:val="24"/>
          <w:lang w:val="en-US"/>
        </w:rPr>
        <w:t>)⁹</w:t>
      </w:r>
    </w:p>
    <w:p w14:paraId="483E7147" w14:textId="77777777" w:rsidR="00C93B11" w:rsidRPr="00C93B11" w:rsidRDefault="00C93B11" w:rsidP="00C93B11">
      <w:pPr>
        <w:numPr>
          <w:ilvl w:val="0"/>
          <w:numId w:val="13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Production now vs. later: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converts vacant land to housing output; helpful against a ~3,000-unit shortfall.¹⁰</w:t>
      </w:r>
    </w:p>
    <w:p w14:paraId="1E8C8ED5" w14:textId="77777777" w:rsidR="00C93B11" w:rsidRDefault="00C93B11" w:rsidP="00C93B11">
      <w:pPr>
        <w:numPr>
          <w:ilvl w:val="0"/>
          <w:numId w:val="13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Performance-based: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grants are paid only if the asset exists, pays taxes, and maintains affordability, allowing claw-back/termination on non-compliance (per recommended terms).¹¹</w:t>
      </w:r>
    </w:p>
    <w:p w14:paraId="5D45E4C2" w14:textId="77777777" w:rsidR="00804D2B" w:rsidRDefault="00804D2B" w:rsidP="00804D2B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</w:p>
    <w:p w14:paraId="27D6E3D4" w14:textId="77777777" w:rsidR="00804D2B" w:rsidRDefault="00804D2B" w:rsidP="00804D2B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</w:p>
    <w:p w14:paraId="5EBFA26F" w14:textId="77777777" w:rsidR="00804D2B" w:rsidRPr="00C93B11" w:rsidRDefault="00804D2B" w:rsidP="00804D2B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</w:p>
    <w:p w14:paraId="11503349" w14:textId="77777777" w:rsidR="00C93B11" w:rsidRPr="00C93B11" w:rsidRDefault="00C93B11" w:rsidP="00C93B1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lastRenderedPageBreak/>
        <w:t>Risk vectors (Cons)</w:t>
      </w:r>
    </w:p>
    <w:p w14:paraId="4CCC29F2" w14:textId="77777777" w:rsidR="00C93B11" w:rsidRPr="00C93B11" w:rsidRDefault="00C93B11" w:rsidP="00C93B11">
      <w:pPr>
        <w:numPr>
          <w:ilvl w:val="0"/>
          <w:numId w:val="14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Foregone revenue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during the grant horizon; the residents still draw on schools, public safety, and infrastructure funded by everyone else. (Silo: ~$216k Year-1; 250-unit scenario: ~$510k Year-1; 15–30 year totals are material.)¹²</w:t>
      </w:r>
    </w:p>
    <w:p w14:paraId="4F720C1E" w14:textId="77777777" w:rsidR="00C93B11" w:rsidRPr="00C93B11" w:rsidRDefault="00C93B11" w:rsidP="00C93B11">
      <w:pPr>
        <w:numPr>
          <w:ilvl w:val="0"/>
          <w:numId w:val="14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Scale vs. gap: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200–250 units are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single-digit %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progress against a 3,000-unit shortage—so multiple projects (and multiple tax rebates) would be needed to bend the curve.¹³</w:t>
      </w:r>
    </w:p>
    <w:p w14:paraId="6547C79E" w14:textId="77777777" w:rsidR="00C93B11" w:rsidRPr="00C93B11" w:rsidRDefault="00C93B11" w:rsidP="00C93B11">
      <w:pPr>
        <w:numPr>
          <w:ilvl w:val="0"/>
          <w:numId w:val="14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Precedent risk: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If 100% rebates become the norm, aggregate tax-base growth is muted until grants sunset; you need caps and ROI discipline.¹⁴</w:t>
      </w:r>
    </w:p>
    <w:p w14:paraId="0DC1E7BF" w14:textId="77777777" w:rsidR="00C93B11" w:rsidRPr="00C93B11" w:rsidRDefault="00C93B11" w:rsidP="00C93B1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Comparative insights (Richmond &amp; others)</w:t>
      </w:r>
    </w:p>
    <w:p w14:paraId="62E43AB7" w14:textId="77777777" w:rsidR="00C93B11" w:rsidRPr="00C93B11" w:rsidRDefault="00C93B11" w:rsidP="00C93B11">
      <w:pPr>
        <w:numPr>
          <w:ilvl w:val="0"/>
          <w:numId w:val="15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Pro: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predictable, by-right-style tax rebate lowered financing friction; unit delivery accelerated.</w:t>
      </w:r>
    </w:p>
    <w:p w14:paraId="68AD5E63" w14:textId="77777777" w:rsidR="00C93B11" w:rsidRPr="00C93B11" w:rsidRDefault="00C93B11" w:rsidP="00C93B11">
      <w:pPr>
        <w:numPr>
          <w:ilvl w:val="0"/>
          <w:numId w:val="15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Con: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long revenue deferral raised equity questions (who pays for incremental services in the interim) and calls for tighter program governance—both flagged in your packet’s analysis.¹⁵</w:t>
      </w:r>
    </w:p>
    <w:p w14:paraId="099E11CA" w14:textId="77777777" w:rsidR="00C93B11" w:rsidRDefault="00C93B11" w:rsidP="00C93B1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</w:p>
    <w:p w14:paraId="5E0AE8FC" w14:textId="5B4538BA" w:rsidR="00C93B11" w:rsidRPr="00C93B11" w:rsidRDefault="00C93B11" w:rsidP="00C93B1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8) Governance recommendations (no-nonsense guardrails)</w:t>
      </w:r>
    </w:p>
    <w:p w14:paraId="6398F066" w14:textId="77777777" w:rsidR="00C93B11" w:rsidRPr="00C93B11" w:rsidRDefault="00C93B11" w:rsidP="00C93B11">
      <w:pPr>
        <w:numPr>
          <w:ilvl w:val="0"/>
          <w:numId w:val="16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Cap total annual rebates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citywide (and per-project) to protect baseline revenue growth.¹⁶</w:t>
      </w:r>
    </w:p>
    <w:p w14:paraId="7D4B659F" w14:textId="77777777" w:rsidR="00C93B11" w:rsidRPr="00C93B11" w:rsidRDefault="00C93B11" w:rsidP="00C93B11">
      <w:pPr>
        <w:numPr>
          <w:ilvl w:val="0"/>
          <w:numId w:val="16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Publish an annual AWHP scorecard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: units by AMI tier, rent levels, occupancy, school impact, and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taxes rebated vs. services consumed</w:t>
      </w:r>
      <w:r w:rsidRPr="00C93B11">
        <w:rPr>
          <w:rFonts w:ascii="Aptos" w:hAnsi="Aptos" w:cs="Aparajita"/>
          <w:sz w:val="24"/>
          <w:szCs w:val="24"/>
          <w:lang w:val="en-US"/>
        </w:rPr>
        <w:t>—in plain English for taxpayers.¹⁷</w:t>
      </w:r>
    </w:p>
    <w:p w14:paraId="50868C88" w14:textId="77777777" w:rsidR="00C93B11" w:rsidRPr="00C93B11" w:rsidRDefault="00C93B11" w:rsidP="00C93B11">
      <w:pPr>
        <w:numPr>
          <w:ilvl w:val="0"/>
          <w:numId w:val="16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Condition Year-16–30 extensions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on capital reinvestment and proven compliance (as the deck recommends), and re-underwrite the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minimum necessary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rebate—don’t auto-renew at 100%.¹⁸</w:t>
      </w:r>
    </w:p>
    <w:p w14:paraId="54CA1C57" w14:textId="77777777" w:rsidR="00C93B11" w:rsidRPr="00C93B11" w:rsidRDefault="00C93B11" w:rsidP="00C93B11">
      <w:pPr>
        <w:numPr>
          <w:ilvl w:val="0"/>
          <w:numId w:val="16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Target unit mix to workforce demand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(e.g., prioritize 1–2BR at 60–80% AMI near employment nodes; reserve a slice at ≤50% AMI for entry-level/solo earners).¹⁹</w:t>
      </w:r>
    </w:p>
    <w:p w14:paraId="68AE14C3" w14:textId="77777777" w:rsidR="00C93B11" w:rsidRPr="00C93B11" w:rsidRDefault="00C93B11" w:rsidP="00C93B11">
      <w:pPr>
        <w:numPr>
          <w:ilvl w:val="0"/>
          <w:numId w:val="16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Pair AWHP with zoning &amp; fee tools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(by-right density near transit, streamlined approvals) to lower cost without permanent revenue deferral.²⁰</w:t>
      </w:r>
    </w:p>
    <w:p w14:paraId="4781CEC5" w14:textId="77777777" w:rsidR="00C93B11" w:rsidRDefault="00C93B11" w:rsidP="00C93B1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</w:p>
    <w:p w14:paraId="795F70E7" w14:textId="101D1A2C" w:rsidR="00C93B11" w:rsidRPr="00C93B11" w:rsidRDefault="00C93B11" w:rsidP="00C93B1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9) Bottom line</w:t>
      </w:r>
    </w:p>
    <w:p w14:paraId="5D7B359E" w14:textId="77777777" w:rsidR="00C93B11" w:rsidRPr="00C93B11" w:rsidRDefault="00C93B11" w:rsidP="00C93B11">
      <w:pPr>
        <w:numPr>
          <w:ilvl w:val="0"/>
          <w:numId w:val="17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Can The Silo fill the need?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Partially—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yes for many singles/couples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in police, fire, teaching, and public works (60–80% AMI).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Less so for larger single-income families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unless unit sizes/pricing are right. It’s material but modest versus a 3,000-unit gap.²¹</w:t>
      </w:r>
    </w:p>
    <w:p w14:paraId="5AC4D739" w14:textId="77777777" w:rsidR="00C93B11" w:rsidRPr="00C93B11" w:rsidRDefault="00C93B11" w:rsidP="00C93B11">
      <w:pPr>
        <w:numPr>
          <w:ilvl w:val="0"/>
          <w:numId w:val="17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Who pays while rebates flow?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In practice,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existing taxpayers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carry more load during the 15–30-year rebate period because the City forgoes the new taxes from these buildings while services still scale. That’s the central trade-off to watch.²²</w:t>
      </w:r>
    </w:p>
    <w:p w14:paraId="4C8183F7" w14:textId="77777777" w:rsidR="00C93B11" w:rsidRPr="00C93B11" w:rsidRDefault="00C93B11" w:rsidP="00C93B1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pict w14:anchorId="361A0BEA">
          <v:rect id="_x0000_i1043" style="width:0;height:1.5pt" o:hralign="center" o:hrstd="t" o:hr="t" fillcolor="#a0a0a0" stroked="f"/>
        </w:pict>
      </w:r>
    </w:p>
    <w:p w14:paraId="6E25F943" w14:textId="77777777" w:rsidR="00C93B11" w:rsidRDefault="00C93B11">
      <w:pPr>
        <w:rPr>
          <w:rFonts w:ascii="Aptos" w:hAnsi="Aptos" w:cs="Aparajita"/>
          <w:b/>
          <w:bCs/>
          <w:sz w:val="24"/>
          <w:szCs w:val="24"/>
          <w:lang w:val="en-US"/>
        </w:rPr>
      </w:pPr>
      <w:r>
        <w:rPr>
          <w:rFonts w:ascii="Aptos" w:hAnsi="Aptos" w:cs="Aparajita"/>
          <w:b/>
          <w:bCs/>
          <w:sz w:val="24"/>
          <w:szCs w:val="24"/>
          <w:lang w:val="en-US"/>
        </w:rPr>
        <w:br w:type="page"/>
      </w:r>
    </w:p>
    <w:p w14:paraId="1FB087E7" w14:textId="59E62BAA" w:rsidR="00C93B11" w:rsidRPr="00C93B11" w:rsidRDefault="00C93B11" w:rsidP="00C93B1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lastRenderedPageBreak/>
        <w:t>Strategic questions to pressure-test with Council/VBDA</w:t>
      </w:r>
    </w:p>
    <w:p w14:paraId="525A7558" w14:textId="77777777" w:rsidR="00C93B11" w:rsidRPr="00C93B11" w:rsidRDefault="00C93B11" w:rsidP="00C93B11">
      <w:pPr>
        <w:numPr>
          <w:ilvl w:val="0"/>
          <w:numId w:val="18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 xml:space="preserve">What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cap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(citywide and per-project) keeps AWHP impactful without hollowing out baseline revenue growth?²³</w:t>
      </w:r>
    </w:p>
    <w:p w14:paraId="7354954C" w14:textId="77777777" w:rsidR="00C93B11" w:rsidRPr="00C93B11" w:rsidRDefault="00C93B11" w:rsidP="00C93B11">
      <w:pPr>
        <w:numPr>
          <w:ilvl w:val="0"/>
          <w:numId w:val="18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 xml:space="preserve">What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unit mix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(by BR count and AMI) best fits local police/fire/teacher/public-works demand 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by district</w:t>
      </w:r>
      <w:r w:rsidRPr="00C93B11">
        <w:rPr>
          <w:rFonts w:ascii="Aptos" w:hAnsi="Aptos" w:cs="Aparajita"/>
          <w:sz w:val="24"/>
          <w:szCs w:val="24"/>
          <w:lang w:val="en-US"/>
        </w:rPr>
        <w:t>? (Right-sizing units can be more powerful than raw unit counts.)²⁴</w:t>
      </w:r>
    </w:p>
    <w:p w14:paraId="0EF066C5" w14:textId="77777777" w:rsidR="00C93B11" w:rsidRPr="00C93B11" w:rsidRDefault="00C93B11" w:rsidP="00C93B11">
      <w:pPr>
        <w:numPr>
          <w:ilvl w:val="0"/>
          <w:numId w:val="18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 xml:space="preserve">What’s the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exit ramp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at Year-15 (or 30)? Do we step down the rebate or require re-underwriting to the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minimum necessary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incentive?²⁵</w:t>
      </w:r>
    </w:p>
    <w:p w14:paraId="37A3453F" w14:textId="77777777" w:rsidR="00C93B11" w:rsidRPr="00C93B11" w:rsidRDefault="00C93B11" w:rsidP="00C93B11">
      <w:pPr>
        <w:numPr>
          <w:ilvl w:val="0"/>
          <w:numId w:val="18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 xml:space="preserve">For transparency, will the City publish an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AWHP annual report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showing units created, compliance status, and </w:t>
      </w: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taxes rebated vs. projected service costs</w:t>
      </w:r>
      <w:r w:rsidRPr="00C93B11">
        <w:rPr>
          <w:rFonts w:ascii="Aptos" w:hAnsi="Aptos" w:cs="Aparajita"/>
          <w:sz w:val="24"/>
          <w:szCs w:val="24"/>
          <w:lang w:val="en-US"/>
        </w:rPr>
        <w:t>?²⁶</w:t>
      </w:r>
    </w:p>
    <w:p w14:paraId="0DA445C6" w14:textId="77777777" w:rsidR="00C93B11" w:rsidRPr="00C93B11" w:rsidRDefault="00C93B11" w:rsidP="00C93B1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pict w14:anchorId="2047F191">
          <v:rect id="_x0000_i1044" style="width:0;height:1.5pt" o:hralign="center" o:hrstd="t" o:hr="t" fillcolor="#a0a0a0" stroked="f"/>
        </w:pict>
      </w:r>
    </w:p>
    <w:p w14:paraId="72158622" w14:textId="77777777" w:rsidR="00C93B11" w:rsidRPr="00C93B11" w:rsidRDefault="00C93B11" w:rsidP="00C93B1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Exhibits &amp; where the numbers came from (by page)</w:t>
      </w:r>
    </w:p>
    <w:p w14:paraId="3EC7B1F3" w14:textId="77777777" w:rsidR="00C93B11" w:rsidRPr="00C93B11" w:rsidRDefault="00C93B11" w:rsidP="00C93B11">
      <w:pPr>
        <w:numPr>
          <w:ilvl w:val="0"/>
          <w:numId w:val="19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Median rent &amp; cost-burden stat; program overview: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deck *slides p.3–5.*¹</w:t>
      </w:r>
    </w:p>
    <w:p w14:paraId="0E028AD3" w14:textId="77777777" w:rsidR="00C93B11" w:rsidRPr="00C93B11" w:rsidRDefault="00C93B11" w:rsidP="00C93B11">
      <w:pPr>
        <w:numPr>
          <w:ilvl w:val="0"/>
          <w:numId w:val="19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Silo affordability table (50–80% AMI caps):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*slide p.13.*³</w:t>
      </w:r>
    </w:p>
    <w:p w14:paraId="12948870" w14:textId="77777777" w:rsidR="00C93B11" w:rsidRPr="00C93B11" w:rsidRDefault="00C93B11" w:rsidP="00C93B11">
      <w:pPr>
        <w:numPr>
          <w:ilvl w:val="0"/>
          <w:numId w:val="19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Silo fiscal terms &amp; first-year rebate: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*slides p.14–15.*⁶</w:t>
      </w:r>
    </w:p>
    <w:p w14:paraId="6742E49C" w14:textId="77777777" w:rsidR="00C93B11" w:rsidRPr="00C93B11" w:rsidRDefault="00C93B11" w:rsidP="00C93B11">
      <w:pPr>
        <w:numPr>
          <w:ilvl w:val="0"/>
          <w:numId w:val="19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Program governance concerns &amp; Richmond comparison: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AWHP civic analysis memo.⁸</w:t>
      </w:r>
    </w:p>
    <w:p w14:paraId="0C493028" w14:textId="77777777" w:rsidR="00C93B11" w:rsidRPr="00C93B11" w:rsidRDefault="00C93B11" w:rsidP="00C93B11">
      <w:pPr>
        <w:numPr>
          <w:ilvl w:val="0"/>
          <w:numId w:val="19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250-unit scenario—foregone tax totals: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 250-unit best-case memo.⁵</w:t>
      </w:r>
    </w:p>
    <w:p w14:paraId="6EC92F31" w14:textId="77777777" w:rsidR="00C93B11" w:rsidRPr="00C93B11" w:rsidRDefault="00C93B11" w:rsidP="00C93B1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>If you want, I can translate this into a one-pager with charts (rent bands vs. AMI; unit contribution vs. 3,000-unit gap) to brief Council or your Civic League chairs.</w:t>
      </w:r>
    </w:p>
    <w:p w14:paraId="372461A3" w14:textId="77777777" w:rsidR="00C93B11" w:rsidRPr="00C93B11" w:rsidRDefault="00C93B11" w:rsidP="00C93B1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pict w14:anchorId="030B0E30">
          <v:rect id="_x0000_i1045" style="width:0;height:1.5pt" o:hralign="center" o:hrstd="t" o:hr="t" fillcolor="#a0a0a0" stroked="f"/>
        </w:pict>
      </w:r>
    </w:p>
    <w:p w14:paraId="09C2875B" w14:textId="77777777" w:rsidR="00C93B11" w:rsidRPr="00C93B11" w:rsidRDefault="00C93B11" w:rsidP="00C93B1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C93B11">
        <w:rPr>
          <w:rFonts w:ascii="Aptos" w:hAnsi="Aptos" w:cs="Aparajita"/>
          <w:b/>
          <w:bCs/>
          <w:sz w:val="24"/>
          <w:szCs w:val="24"/>
          <w:lang w:val="en-US"/>
        </w:rPr>
        <w:t>Footnotes</w:t>
      </w:r>
    </w:p>
    <w:p w14:paraId="06CF5912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 xml:space="preserve">Slide Deck #1 and #2 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Attainable Workforce Housing Performance Grant Applications</w:t>
      </w:r>
      <w:r w:rsidRPr="00C93B11">
        <w:rPr>
          <w:rFonts w:ascii="Aptos" w:hAnsi="Aptos" w:cs="Aparajita"/>
          <w:sz w:val="24"/>
          <w:szCs w:val="24"/>
          <w:lang w:val="en-US"/>
        </w:rPr>
        <w:t>, L43–L53</w:t>
      </w:r>
    </w:p>
    <w:p w14:paraId="5B98C50E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 xml:space="preserve">Slide Deck #1 and #2 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Attainable Workforce Housing Performance Grant Applications</w:t>
      </w:r>
      <w:r w:rsidRPr="00C93B11">
        <w:rPr>
          <w:rFonts w:ascii="Aptos" w:hAnsi="Aptos" w:cs="Aparajita"/>
          <w:sz w:val="24"/>
          <w:szCs w:val="24"/>
          <w:lang w:val="en-US"/>
        </w:rPr>
        <w:t>, L93–L99</w:t>
      </w:r>
    </w:p>
    <w:p w14:paraId="0ECC88CC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 xml:space="preserve">Slide Deck #1 and #2 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Attainable Workforce Housing Performance Grant Applications</w:t>
      </w:r>
      <w:r w:rsidRPr="00C93B11">
        <w:rPr>
          <w:rFonts w:ascii="Aptos" w:hAnsi="Aptos" w:cs="Aparajita"/>
          <w:sz w:val="24"/>
          <w:szCs w:val="24"/>
          <w:lang w:val="en-US"/>
        </w:rPr>
        <w:t>, L86–L99</w:t>
      </w:r>
    </w:p>
    <w:p w14:paraId="57A8C45D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 xml:space="preserve">Slide Deck #1 and #2 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Attainable Workforce Housing Performance Grant Applications</w:t>
      </w:r>
      <w:r w:rsidRPr="00C93B11">
        <w:rPr>
          <w:rFonts w:ascii="Aptos" w:hAnsi="Aptos" w:cs="Aparajita"/>
          <w:sz w:val="24"/>
          <w:szCs w:val="24"/>
          <w:lang w:val="en-US"/>
        </w:rPr>
        <w:t>, L37–L45</w:t>
      </w:r>
    </w:p>
    <w:p w14:paraId="0081FDDA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2025 250 Unit Scenario.docx</w:t>
      </w:r>
      <w:r w:rsidRPr="00C93B11">
        <w:rPr>
          <w:rFonts w:ascii="Aptos" w:hAnsi="Aptos" w:cs="Aparajita"/>
          <w:sz w:val="24"/>
          <w:szCs w:val="24"/>
          <w:lang w:val="en-US"/>
        </w:rPr>
        <w:t>, L1–L19</w:t>
      </w:r>
    </w:p>
    <w:p w14:paraId="15F45469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 xml:space="preserve">Slide Deck #1 and #2 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Attainable Workforce Housing Performance Grant Applications</w:t>
      </w:r>
      <w:r w:rsidRPr="00C93B11">
        <w:rPr>
          <w:rFonts w:ascii="Aptos" w:hAnsi="Aptos" w:cs="Aparajita"/>
          <w:sz w:val="24"/>
          <w:szCs w:val="24"/>
          <w:lang w:val="en-US"/>
        </w:rPr>
        <w:t>, L112–L123</w:t>
      </w:r>
    </w:p>
    <w:p w14:paraId="59570D2C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2025 250 Unit Scenario Impact Analysis.docx</w:t>
      </w:r>
      <w:r w:rsidRPr="00C93B11">
        <w:rPr>
          <w:rFonts w:ascii="Aptos" w:hAnsi="Aptos" w:cs="Aparajita"/>
          <w:sz w:val="24"/>
          <w:szCs w:val="24"/>
          <w:lang w:val="en-US"/>
        </w:rPr>
        <w:t>, L55–L78</w:t>
      </w:r>
    </w:p>
    <w:p w14:paraId="7BA12BD5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2025 250 Unit Scenario Impact Analysis.docx</w:t>
      </w:r>
      <w:r w:rsidRPr="00C93B11">
        <w:rPr>
          <w:rFonts w:ascii="Aptos" w:hAnsi="Aptos" w:cs="Aparajita"/>
          <w:sz w:val="24"/>
          <w:szCs w:val="24"/>
          <w:lang w:val="en-US"/>
        </w:rPr>
        <w:t>, L1–L22</w:t>
      </w:r>
    </w:p>
    <w:p w14:paraId="711B809D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 xml:space="preserve">Slide Deck #1 and #2 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Attainable Workforce Housing Performance Grant Applications</w:t>
      </w:r>
      <w:r w:rsidRPr="00C93B11">
        <w:rPr>
          <w:rFonts w:ascii="Aptos" w:hAnsi="Aptos" w:cs="Aparajita"/>
          <w:sz w:val="24"/>
          <w:szCs w:val="24"/>
          <w:lang w:val="en-US"/>
        </w:rPr>
        <w:t>, L86–L99</w:t>
      </w:r>
    </w:p>
    <w:p w14:paraId="4721F927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 xml:space="preserve">Slide Deck #1 and #2 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Attainable Workforce Housing Performance Grant Applications</w:t>
      </w:r>
      <w:r w:rsidRPr="00C93B11">
        <w:rPr>
          <w:rFonts w:ascii="Aptos" w:hAnsi="Aptos" w:cs="Aparajita"/>
          <w:sz w:val="24"/>
          <w:szCs w:val="24"/>
          <w:lang w:val="en-US"/>
        </w:rPr>
        <w:t>, L37–L45</w:t>
      </w:r>
    </w:p>
    <w:p w14:paraId="7D601937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lastRenderedPageBreak/>
        <w:t xml:space="preserve">Slide Deck #1 and #2 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Attainable Workforce Housing Performance Grant Applications</w:t>
      </w:r>
      <w:r w:rsidRPr="00C93B11">
        <w:rPr>
          <w:rFonts w:ascii="Aptos" w:hAnsi="Aptos" w:cs="Aparajita"/>
          <w:sz w:val="24"/>
          <w:szCs w:val="24"/>
          <w:lang w:val="en-US"/>
        </w:rPr>
        <w:t>, L100–L110</w:t>
      </w:r>
    </w:p>
    <w:p w14:paraId="6AB46131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 xml:space="preserve">Slide Deck #1 and #2 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Attainable Workforce Housing Performance Grant Applications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, L112–L123; 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2025 250 Unit Scenario.docx</w:t>
      </w:r>
      <w:r w:rsidRPr="00C93B11">
        <w:rPr>
          <w:rFonts w:ascii="Aptos" w:hAnsi="Aptos" w:cs="Aparajita"/>
          <w:sz w:val="24"/>
          <w:szCs w:val="24"/>
          <w:lang w:val="en-US"/>
        </w:rPr>
        <w:t>, L1–L19</w:t>
      </w:r>
    </w:p>
    <w:p w14:paraId="25018BB7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 xml:space="preserve">Slide Deck #1 and #2 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Attainable Workforce Housing Performance Grant Applications</w:t>
      </w:r>
      <w:r w:rsidRPr="00C93B11">
        <w:rPr>
          <w:rFonts w:ascii="Aptos" w:hAnsi="Aptos" w:cs="Aparajita"/>
          <w:sz w:val="24"/>
          <w:szCs w:val="24"/>
          <w:lang w:val="en-US"/>
        </w:rPr>
        <w:t>, L37–L45</w:t>
      </w:r>
    </w:p>
    <w:p w14:paraId="4759A912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2025 250 Unit Scenario Impact Analysis.docx</w:t>
      </w:r>
      <w:r w:rsidRPr="00C93B11">
        <w:rPr>
          <w:rFonts w:ascii="Aptos" w:hAnsi="Aptos" w:cs="Aparajita"/>
          <w:sz w:val="24"/>
          <w:szCs w:val="24"/>
          <w:lang w:val="en-US"/>
        </w:rPr>
        <w:t>, L79–L104</w:t>
      </w:r>
    </w:p>
    <w:p w14:paraId="55B7FD37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2025 250 Unit Scenario Impact Analysis.docx</w:t>
      </w:r>
      <w:r w:rsidRPr="00C93B11">
        <w:rPr>
          <w:rFonts w:ascii="Aptos" w:hAnsi="Aptos" w:cs="Aparajita"/>
          <w:sz w:val="24"/>
          <w:szCs w:val="24"/>
          <w:lang w:val="en-US"/>
        </w:rPr>
        <w:t>, L1–L22</w:t>
      </w:r>
    </w:p>
    <w:p w14:paraId="0E7A137B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2025 250 Unit Scenario Impact Analysis.docx</w:t>
      </w:r>
      <w:r w:rsidRPr="00C93B11">
        <w:rPr>
          <w:rFonts w:ascii="Aptos" w:hAnsi="Aptos" w:cs="Aparajita"/>
          <w:sz w:val="24"/>
          <w:szCs w:val="24"/>
          <w:lang w:val="en-US"/>
        </w:rPr>
        <w:t>, L105–L135</w:t>
      </w:r>
    </w:p>
    <w:p w14:paraId="7C4A09C1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2025 250 Unit Scenario Impact Analysis.docx</w:t>
      </w:r>
      <w:r w:rsidRPr="00C93B11">
        <w:rPr>
          <w:rFonts w:ascii="Aptos" w:hAnsi="Aptos" w:cs="Aparajita"/>
          <w:sz w:val="24"/>
          <w:szCs w:val="24"/>
          <w:lang w:val="en-US"/>
        </w:rPr>
        <w:t>, L105–L135</w:t>
      </w:r>
    </w:p>
    <w:p w14:paraId="3F653A88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 xml:space="preserve">Slide Deck #1 and #2 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Attainable Workforce Housing Performance Grant Applications</w:t>
      </w:r>
      <w:r w:rsidRPr="00C93B11">
        <w:rPr>
          <w:rFonts w:ascii="Aptos" w:hAnsi="Aptos" w:cs="Aparajita"/>
          <w:sz w:val="24"/>
          <w:szCs w:val="24"/>
          <w:lang w:val="en-US"/>
        </w:rPr>
        <w:t>, L100–L110</w:t>
      </w:r>
    </w:p>
    <w:p w14:paraId="29835258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 xml:space="preserve">Slide Deck #1 and #2 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Attainable Workforce Housing Performance Grant Applications</w:t>
      </w:r>
      <w:r w:rsidRPr="00C93B11">
        <w:rPr>
          <w:rFonts w:ascii="Aptos" w:hAnsi="Aptos" w:cs="Aparajita"/>
          <w:sz w:val="24"/>
          <w:szCs w:val="24"/>
          <w:lang w:val="en-US"/>
        </w:rPr>
        <w:t>, L86–L99</w:t>
      </w:r>
    </w:p>
    <w:p w14:paraId="2DFAB2C4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2025 250 Unit Scenario Impact Analysis.docx</w:t>
      </w:r>
      <w:r w:rsidRPr="00C93B11">
        <w:rPr>
          <w:rFonts w:ascii="Aptos" w:hAnsi="Aptos" w:cs="Aparajita"/>
          <w:sz w:val="24"/>
          <w:szCs w:val="24"/>
          <w:lang w:val="en-US"/>
        </w:rPr>
        <w:t>, L105–L135</w:t>
      </w:r>
    </w:p>
    <w:p w14:paraId="05A8D6E8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 xml:space="preserve">Slide Deck #1 and #2 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Attainable Workforce Housing Performance Grant Applications</w:t>
      </w:r>
      <w:r w:rsidRPr="00C93B11">
        <w:rPr>
          <w:rFonts w:ascii="Aptos" w:hAnsi="Aptos" w:cs="Aparajita"/>
          <w:sz w:val="24"/>
          <w:szCs w:val="24"/>
          <w:lang w:val="en-US"/>
        </w:rPr>
        <w:t>, L86–L99</w:t>
      </w:r>
    </w:p>
    <w:p w14:paraId="3949439F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 xml:space="preserve">Slide Deck #1 and #2 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Attainable Workforce Housing Performance Grant Applications</w:t>
      </w:r>
      <w:r w:rsidRPr="00C93B11">
        <w:rPr>
          <w:rFonts w:ascii="Aptos" w:hAnsi="Aptos" w:cs="Aparajita"/>
          <w:sz w:val="24"/>
          <w:szCs w:val="24"/>
          <w:lang w:val="en-US"/>
        </w:rPr>
        <w:t xml:space="preserve">, L112–L123; 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2025 250 Unit Scenario.docx</w:t>
      </w:r>
      <w:r w:rsidRPr="00C93B11">
        <w:rPr>
          <w:rFonts w:ascii="Aptos" w:hAnsi="Aptos" w:cs="Aparajita"/>
          <w:sz w:val="24"/>
          <w:szCs w:val="24"/>
          <w:lang w:val="en-US"/>
        </w:rPr>
        <w:t>, L1–L19</w:t>
      </w:r>
    </w:p>
    <w:p w14:paraId="4AB3ED39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2025 250 Unit Scenario Impact Analysis.docx</w:t>
      </w:r>
      <w:r w:rsidRPr="00C93B11">
        <w:rPr>
          <w:rFonts w:ascii="Aptos" w:hAnsi="Aptos" w:cs="Aparajita"/>
          <w:sz w:val="24"/>
          <w:szCs w:val="24"/>
          <w:lang w:val="en-US"/>
        </w:rPr>
        <w:t>, L105–L135</w:t>
      </w:r>
    </w:p>
    <w:p w14:paraId="73A081F7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 xml:space="preserve">Slide Deck #1 and #2 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Attainable Workforce Housing Performance Grant Applications</w:t>
      </w:r>
      <w:r w:rsidRPr="00C93B11">
        <w:rPr>
          <w:rFonts w:ascii="Aptos" w:hAnsi="Aptos" w:cs="Aparajita"/>
          <w:sz w:val="24"/>
          <w:szCs w:val="24"/>
          <w:lang w:val="en-US"/>
        </w:rPr>
        <w:t>, L86–L99</w:t>
      </w:r>
    </w:p>
    <w:p w14:paraId="6FA6CDE6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sz w:val="24"/>
          <w:szCs w:val="24"/>
          <w:lang w:val="en-US"/>
        </w:rPr>
        <w:t xml:space="preserve">Slide Deck #1 and #2 </w:t>
      </w: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Attainable Workforce Housing Performance Grant Applications</w:t>
      </w:r>
      <w:r w:rsidRPr="00C93B11">
        <w:rPr>
          <w:rFonts w:ascii="Aptos" w:hAnsi="Aptos" w:cs="Aparajita"/>
          <w:sz w:val="24"/>
          <w:szCs w:val="24"/>
          <w:lang w:val="en-US"/>
        </w:rPr>
        <w:t>, L100–L110</w:t>
      </w:r>
    </w:p>
    <w:p w14:paraId="6D35E36B" w14:textId="77777777" w:rsidR="00C93B11" w:rsidRPr="00C93B11" w:rsidRDefault="00C93B11" w:rsidP="00C93B11">
      <w:pPr>
        <w:numPr>
          <w:ilvl w:val="0"/>
          <w:numId w:val="20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C93B11">
        <w:rPr>
          <w:rFonts w:ascii="Aptos" w:hAnsi="Aptos" w:cs="Aparajita"/>
          <w:i/>
          <w:iCs/>
          <w:sz w:val="24"/>
          <w:szCs w:val="24"/>
          <w:lang w:val="en-US"/>
        </w:rPr>
        <w:t>2025 250 Unit Scenario Impact Analysis.docx</w:t>
      </w:r>
      <w:r w:rsidRPr="00C93B11">
        <w:rPr>
          <w:rFonts w:ascii="Aptos" w:hAnsi="Aptos" w:cs="Aparajita"/>
          <w:sz w:val="24"/>
          <w:szCs w:val="24"/>
          <w:lang w:val="en-US"/>
        </w:rPr>
        <w:t>, L105–L135</w:t>
      </w:r>
    </w:p>
    <w:p w14:paraId="4AF405F4" w14:textId="77777777" w:rsidR="00C93B11" w:rsidRDefault="00C93B11" w:rsidP="00C93B11">
      <w:pPr>
        <w:spacing w:after="0" w:line="240" w:lineRule="auto"/>
        <w:rPr>
          <w:rFonts w:ascii="Aptos" w:hAnsi="Aptos" w:cs="Aparajita"/>
          <w:sz w:val="24"/>
          <w:szCs w:val="24"/>
        </w:rPr>
      </w:pPr>
    </w:p>
    <w:p w14:paraId="2ACB2D63" w14:textId="77777777" w:rsidR="00C552FF" w:rsidRDefault="00C552FF" w:rsidP="00C93B11">
      <w:pPr>
        <w:spacing w:after="0" w:line="240" w:lineRule="auto"/>
        <w:rPr>
          <w:rFonts w:ascii="Aptos" w:hAnsi="Aptos" w:cs="Aparajita"/>
          <w:sz w:val="24"/>
          <w:szCs w:val="24"/>
        </w:rPr>
      </w:pPr>
    </w:p>
    <w:p w14:paraId="3A083A22" w14:textId="3E10F2EB" w:rsidR="00C552FF" w:rsidRDefault="00C552FF" w:rsidP="00C93B11">
      <w:pPr>
        <w:spacing w:after="0" w:line="240" w:lineRule="auto"/>
        <w:rPr>
          <w:rFonts w:ascii="Aptos" w:hAnsi="Aptos" w:cs="Aparajita"/>
          <w:sz w:val="24"/>
          <w:szCs w:val="24"/>
        </w:rPr>
      </w:pPr>
      <w:r w:rsidRPr="00C552FF">
        <w:rPr>
          <w:rFonts w:ascii="Aptos" w:hAnsi="Aptos" w:cs="Aparajita"/>
          <w:sz w:val="24"/>
          <w:szCs w:val="24"/>
        </w:rPr>
        <w:t xml:space="preserve">The FY 2025 “MFI/AMI” for the area is listed as </w:t>
      </w:r>
      <w:r w:rsidRPr="00C552FF">
        <w:rPr>
          <w:rFonts w:ascii="Aptos" w:hAnsi="Aptos" w:cs="Aparajita"/>
          <w:b/>
          <w:bCs/>
          <w:sz w:val="24"/>
          <w:szCs w:val="24"/>
        </w:rPr>
        <w:t>$106,500</w:t>
      </w:r>
      <w:r w:rsidRPr="00C552FF">
        <w:rPr>
          <w:rFonts w:ascii="Aptos" w:hAnsi="Aptos" w:cs="Aparajita"/>
          <w:sz w:val="24"/>
          <w:szCs w:val="24"/>
        </w:rPr>
        <w:t xml:space="preserve"> for a 4-person household</w:t>
      </w:r>
      <w:r w:rsidR="00113D33" w:rsidRPr="00113D33">
        <w:rPr>
          <w:rFonts w:ascii="Aptos" w:hAnsi="Aptos" w:cs="Aparajita"/>
          <w:sz w:val="24"/>
          <w:szCs w:val="24"/>
        </w:rPr>
        <w:t>¹</w:t>
      </w:r>
    </w:p>
    <w:p w14:paraId="56ACA5EF" w14:textId="77777777" w:rsidR="00113D33" w:rsidRDefault="00113D33" w:rsidP="00C93B11">
      <w:pPr>
        <w:spacing w:after="0" w:line="240" w:lineRule="auto"/>
        <w:rPr>
          <w:rFonts w:ascii="Aptos" w:hAnsi="Aptos" w:cs="Aparajita"/>
          <w:sz w:val="24"/>
          <w:szCs w:val="24"/>
        </w:rPr>
      </w:pPr>
    </w:p>
    <w:p w14:paraId="571A9024" w14:textId="78F0B157" w:rsidR="00113D33" w:rsidRPr="00113D33" w:rsidRDefault="00113D33" w:rsidP="00113D33">
      <w:pPr>
        <w:pStyle w:val="ListParagraph"/>
        <w:numPr>
          <w:ilvl w:val="0"/>
          <w:numId w:val="21"/>
        </w:numPr>
        <w:spacing w:after="0" w:line="240" w:lineRule="auto"/>
        <w:rPr>
          <w:rFonts w:ascii="Aptos" w:hAnsi="Aptos" w:cs="Aparajita"/>
          <w:sz w:val="24"/>
          <w:szCs w:val="24"/>
        </w:rPr>
      </w:pPr>
      <w:r w:rsidRPr="00113D33">
        <w:rPr>
          <w:rFonts w:ascii="Aptos" w:hAnsi="Aptos" w:cs="Aparajita"/>
          <w:sz w:val="24"/>
          <w:szCs w:val="24"/>
        </w:rPr>
        <w:t>FY 2025 Section 8 Income Limits Tables published by U.S. Department of Housing and Urban Development.</w:t>
      </w:r>
    </w:p>
    <w:p w14:paraId="5BB15FA5" w14:textId="6BCF5CDC" w:rsidR="00E63B49" w:rsidRDefault="00E63B49" w:rsidP="00C93B11">
      <w:pPr>
        <w:spacing w:after="0" w:line="240" w:lineRule="auto"/>
        <w:rPr>
          <w:rFonts w:ascii="Aptos" w:hAnsi="Aptos" w:cs="Aparajit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0D2A5930" wp14:editId="5164C656">
            <wp:extent cx="5943600" cy="3566160"/>
            <wp:effectExtent l="0" t="0" r="0" b="0"/>
            <wp:docPr id="1272842211" name="Picture 1" descr="A graph of a bar char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2842211" name="Picture 1" descr="A graph of a bar char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E81D2" w14:textId="77777777" w:rsidR="00C552FF" w:rsidRDefault="00C552FF" w:rsidP="00C93B11">
      <w:pPr>
        <w:spacing w:after="0" w:line="240" w:lineRule="auto"/>
        <w:rPr>
          <w:rFonts w:ascii="Aptos" w:hAnsi="Aptos" w:cs="Aparajita"/>
          <w:sz w:val="24"/>
          <w:szCs w:val="24"/>
        </w:rPr>
      </w:pPr>
    </w:p>
    <w:p w14:paraId="15BD1984" w14:textId="6EBECAF8" w:rsidR="00B70141" w:rsidRDefault="00C552FF" w:rsidP="00C93B11">
      <w:pPr>
        <w:spacing w:after="0" w:line="240" w:lineRule="auto"/>
        <w:rPr>
          <w:rFonts w:ascii="Aptos" w:hAnsi="Aptos" w:cs="Aparajita"/>
          <w:sz w:val="24"/>
          <w:szCs w:val="24"/>
        </w:rPr>
      </w:pPr>
      <w:r>
        <w:rPr>
          <w:noProof/>
        </w:rPr>
        <w:drawing>
          <wp:inline distT="0" distB="0" distL="0" distR="0" wp14:anchorId="1E15E909" wp14:editId="26039C6C">
            <wp:extent cx="5943600" cy="3566160"/>
            <wp:effectExtent l="0" t="0" r="0" b="0"/>
            <wp:docPr id="1490142868" name="Picture 1" descr="A graph of a bar graph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142868" name="Picture 1" descr="A graph of a bar graph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7D7EF6" w14:textId="77777777" w:rsidR="00B70141" w:rsidRDefault="00B70141">
      <w:pPr>
        <w:rPr>
          <w:rFonts w:ascii="Aptos" w:hAnsi="Aptos" w:cs="Aparajita"/>
          <w:sz w:val="24"/>
          <w:szCs w:val="24"/>
        </w:rPr>
      </w:pPr>
      <w:r>
        <w:rPr>
          <w:rFonts w:ascii="Aptos" w:hAnsi="Aptos" w:cs="Aparajita"/>
          <w:sz w:val="24"/>
          <w:szCs w:val="24"/>
        </w:rPr>
        <w:br w:type="page"/>
      </w:r>
    </w:p>
    <w:p w14:paraId="276D23E1" w14:textId="77777777" w:rsidR="00B70141" w:rsidRPr="00B70141" w:rsidRDefault="00B70141" w:rsidP="00B70141">
      <w:pPr>
        <w:spacing w:after="0" w:line="240" w:lineRule="auto"/>
        <w:jc w:val="center"/>
        <w:rPr>
          <w:rFonts w:ascii="Aptos" w:hAnsi="Aptos" w:cs="Aparajita"/>
          <w:b/>
          <w:bCs/>
          <w:sz w:val="36"/>
          <w:szCs w:val="36"/>
          <w:lang w:val="en-US"/>
        </w:rPr>
      </w:pPr>
      <w:r w:rsidRPr="00B70141">
        <w:rPr>
          <w:rFonts w:ascii="Aptos" w:hAnsi="Aptos" w:cs="Aparajita"/>
          <w:b/>
          <w:bCs/>
          <w:sz w:val="36"/>
          <w:szCs w:val="36"/>
          <w:lang w:val="en-US"/>
        </w:rPr>
        <w:lastRenderedPageBreak/>
        <w:t>Executive Summary</w:t>
      </w:r>
    </w:p>
    <w:p w14:paraId="71E0D002" w14:textId="77777777" w:rsid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</w:p>
    <w:p w14:paraId="21062A89" w14:textId="14DCB38C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Is AWHP good for a city? Potentially yes—it can unlock projects that otherwise wouldn’t pencil, add supply in the right AMI bands, and support workforce retention. But outcomes depend on tight guardrails (caps, reporting, compliance).¹ ² ⁴</w:t>
      </w:r>
    </w:p>
    <w:p w14:paraId="049A7B4D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Is it a good deal for taxpayers? It can be, if structured to deliver verifiable net public value (units, rents, location, durability) in exchange for time-limited tax rebates with strong oversight. Without caps and performance auditing, the opportunity cost (foregone revenue) can creep and shift cost burdens onto existing residents.¹ ² ⁴</w:t>
      </w:r>
    </w:p>
    <w:p w14:paraId="3578EEEC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Is it a good way to incent workforce housing? Yes, with conditions. Property-tax-based grants are a proven lever to close feasibility gaps for 60–80% AMI rentals—especially for mid-career public safety, teachers, and city staff—when paired with by-right zoning, fee relief, and expedited approvals.² ³</w:t>
      </w:r>
    </w:p>
    <w:p w14:paraId="7B72A52E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Is it sustainable? It’s sustainable if the City enforces a budget guardrail and “minimum-necessary” underwriting. The program is “self-funded” from incremental taxes, but that still represents foregone revenue until benefits sunset. Sustainability hinges on citywide caps, step-downs, and annual transparency.¹ ²</w:t>
      </w:r>
    </w:p>
    <w:p w14:paraId="7837C08E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pict w14:anchorId="40C1ADAC">
          <v:rect id="_x0000_i1103" style="width:0;height:1.5pt" o:hralign="center" o:hrstd="t" o:hr="t" fillcolor="#a0a0a0" stroked="f"/>
        </w:pict>
      </w:r>
    </w:p>
    <w:p w14:paraId="7838AC9F" w14:textId="77777777" w:rsidR="00B70141" w:rsidRDefault="00B70141" w:rsidP="00B7014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</w:p>
    <w:p w14:paraId="0DE308B1" w14:textId="5898C7DF" w:rsidR="00B70141" w:rsidRPr="00B70141" w:rsidRDefault="00B70141" w:rsidP="00B7014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B70141">
        <w:rPr>
          <w:rFonts w:ascii="Aptos" w:hAnsi="Aptos" w:cs="Aparajita"/>
          <w:b/>
          <w:bCs/>
          <w:sz w:val="24"/>
          <w:szCs w:val="24"/>
          <w:lang w:val="en-US"/>
        </w:rPr>
        <w:t>Value Proposition (Benefits)</w:t>
      </w:r>
    </w:p>
    <w:p w14:paraId="59D12094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 xml:space="preserve">Production now vs. later. De-risks deal pro </w:t>
      </w:r>
      <w:proofErr w:type="spellStart"/>
      <w:r w:rsidRPr="00B70141">
        <w:rPr>
          <w:rFonts w:ascii="Aptos" w:hAnsi="Aptos" w:cs="Aparajita"/>
          <w:sz w:val="24"/>
          <w:szCs w:val="24"/>
          <w:lang w:val="en-US"/>
        </w:rPr>
        <w:t>formas</w:t>
      </w:r>
      <w:proofErr w:type="spellEnd"/>
      <w:r w:rsidRPr="00B70141">
        <w:rPr>
          <w:rFonts w:ascii="Aptos" w:hAnsi="Aptos" w:cs="Aparajita"/>
          <w:sz w:val="24"/>
          <w:szCs w:val="24"/>
          <w:lang w:val="en-US"/>
        </w:rPr>
        <w:t xml:space="preserve"> so units get built where they’re needed (near job centers, transit), targeting households at or below 80% of Area Median Income (AMI) (VB-Norfolk-NN FY2025 MFI is $106,500 for a 4-person household).⁵ ⁶</w:t>
      </w:r>
    </w:p>
    <w:p w14:paraId="46DBA309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Performance-based structure. Grants are paid only if the project exists, pays its bill, and maintains affordability; benefits can terminate for non-compliance.¹ ²</w:t>
      </w:r>
    </w:p>
    <w:p w14:paraId="730A5EDE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Workforce retention. Aligns with income bands for early/mid-career police, fire, teachers, and public works, where 50–80% AMI thresholds set rent targets below typical market median.² ⁶</w:t>
      </w:r>
    </w:p>
    <w:p w14:paraId="6FE6593D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Signal to capital. Predictable, codified incentives reduce financing friction, which Richmond reports has accelerated affordable multifamily delivery.¹ ⁴</w:t>
      </w:r>
    </w:p>
    <w:p w14:paraId="72FA7D42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pict w14:anchorId="61307E6B">
          <v:rect id="_x0000_i1104" style="width:0;height:1.5pt" o:hralign="center" o:hrstd="t" o:hr="t" fillcolor="#a0a0a0" stroked="f"/>
        </w:pict>
      </w:r>
    </w:p>
    <w:p w14:paraId="7BB64733" w14:textId="77777777" w:rsidR="00B70141" w:rsidRDefault="00B70141" w:rsidP="00B7014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</w:p>
    <w:p w14:paraId="0EA42FCF" w14:textId="31433E35" w:rsidR="00B70141" w:rsidRPr="00B70141" w:rsidRDefault="00B70141" w:rsidP="00B7014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B70141">
        <w:rPr>
          <w:rFonts w:ascii="Aptos" w:hAnsi="Aptos" w:cs="Aparajita"/>
          <w:b/>
          <w:bCs/>
          <w:sz w:val="24"/>
          <w:szCs w:val="24"/>
          <w:lang w:val="en-US"/>
        </w:rPr>
        <w:t>Risk Vectors (Costs &amp; Trade-offs)</w:t>
      </w:r>
    </w:p>
    <w:p w14:paraId="4BCAE227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Foregone revenue during the grant horizon. The “incremental” real-estate tax is rebated, so the General Fund doesn’t fully benefit until the grant sunsets—even as service demand (schools, public safety, roads) scales day one. That’s the core taxpayer trade-off.¹ ²</w:t>
      </w:r>
    </w:p>
    <w:p w14:paraId="4152D6B9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Program creep. If 100% rebates become standard across many projects, aggregate tax-base growth is muted; future councils may face pressure for rate increases or service cuts absent caps.¹ ²</w:t>
      </w:r>
    </w:p>
    <w:p w14:paraId="220447E8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lastRenderedPageBreak/>
        <w:t>Targeting risk. Units must be in the right locations and bedroom mix to serve actual workforce demand; otherwise, public dollars subsidize units that don’t move the retention needle.²</w:t>
      </w:r>
    </w:p>
    <w:p w14:paraId="19475AD0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Governance/opacity risk. Without public dashboards, annual audits, and claw-backs, trust erodes and ROI goes unproven.¹</w:t>
      </w:r>
    </w:p>
    <w:p w14:paraId="617394A2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pict w14:anchorId="1C6EAE08">
          <v:rect id="_x0000_i1105" style="width:0;height:1.5pt" o:hralign="center" o:hrstd="t" o:hr="t" fillcolor="#a0a0a0" stroked="f"/>
        </w:pict>
      </w:r>
    </w:p>
    <w:p w14:paraId="2E72574D" w14:textId="77777777" w:rsidR="00B70141" w:rsidRDefault="00B70141" w:rsidP="00B7014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</w:p>
    <w:p w14:paraId="2A19F819" w14:textId="1AD66877" w:rsidR="00B70141" w:rsidRPr="00B70141" w:rsidRDefault="00B70141" w:rsidP="00B7014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B70141">
        <w:rPr>
          <w:rFonts w:ascii="Aptos" w:hAnsi="Aptos" w:cs="Aparajita"/>
          <w:b/>
          <w:bCs/>
          <w:sz w:val="24"/>
          <w:szCs w:val="24"/>
          <w:lang w:val="en-US"/>
        </w:rPr>
        <w:t>“Good for the City?” — When the Answer Is Yes</w:t>
      </w:r>
    </w:p>
    <w:p w14:paraId="414FAA7A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The program uses time-bound, performance-based grants with clear eligibility (≤80% AMI), transparent reporting, and automatic claw-backs.¹ ²</w:t>
      </w:r>
    </w:p>
    <w:p w14:paraId="284BEA88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City imposes citywide and per-project caps on annual rebates, aligned to the budget.¹</w:t>
      </w:r>
    </w:p>
    <w:p w14:paraId="03711F94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Underwriting standard is “minimum necessary to close the gap” (not a flat 100% rebate by default), re-tested at renewals.¹ ²</w:t>
      </w:r>
    </w:p>
    <w:p w14:paraId="25D51EC6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AWHP is paired with zoning/entitlement fixes (by-right density, parking reform where applicable) and fee streamlining, so the City isn’t leaning solely on the tax grant to deliver affordability.¹</w:t>
      </w:r>
    </w:p>
    <w:p w14:paraId="7C0A59A2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pict w14:anchorId="5D17369B">
          <v:rect id="_x0000_i1106" style="width:0;height:1.5pt" o:hralign="center" o:hrstd="t" o:hr="t" fillcolor="#a0a0a0" stroked="f"/>
        </w:pict>
      </w:r>
    </w:p>
    <w:p w14:paraId="5B6AF25D" w14:textId="77777777" w:rsidR="00B70141" w:rsidRDefault="00B70141" w:rsidP="00B7014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</w:p>
    <w:p w14:paraId="341D9589" w14:textId="738BF60B" w:rsidR="00B70141" w:rsidRPr="00B70141" w:rsidRDefault="00B70141" w:rsidP="00B7014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B70141">
        <w:rPr>
          <w:rFonts w:ascii="Aptos" w:hAnsi="Aptos" w:cs="Aparajita"/>
          <w:b/>
          <w:bCs/>
          <w:sz w:val="24"/>
          <w:szCs w:val="24"/>
          <w:lang w:val="en-US"/>
        </w:rPr>
        <w:t>“Good for Taxpayers?” — The Litmus Tests</w:t>
      </w:r>
    </w:p>
    <w:p w14:paraId="6DFE8202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Unit delivery KPI: # of units by AMI tier (30/50/60/80%), by bedroom count, by geography; compare to stated shortfall.</w:t>
      </w:r>
    </w:p>
    <w:p w14:paraId="57CE6D61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Fiscal KPI: annual table of incremental taxes rebated vs. baseline service costs for residents in AWHP units; publish the variance.</w:t>
      </w:r>
    </w:p>
    <w:p w14:paraId="2546F662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Compliance KPI: affordability tests passed/failed, audits, enforcement actions, and claw-backs executed.</w:t>
      </w:r>
    </w:p>
    <w:p w14:paraId="2E66E6C5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Sunset KPI: step-down profile and when each property transitions to full taxes.</w:t>
      </w:r>
    </w:p>
    <w:p w14:paraId="3CAFCCE3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If these KPIs are published and caps enforced, taxpayers can see tangible value for the forgone revenue.</w:t>
      </w:r>
    </w:p>
    <w:p w14:paraId="3F53F895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pict w14:anchorId="5E96C002">
          <v:rect id="_x0000_i1107" style="width:0;height:1.5pt" o:hralign="center" o:hrstd="t" o:hr="t" fillcolor="#a0a0a0" stroked="f"/>
        </w:pict>
      </w:r>
    </w:p>
    <w:p w14:paraId="3A8DEDCF" w14:textId="77777777" w:rsidR="00B70141" w:rsidRDefault="00B70141" w:rsidP="00B7014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</w:p>
    <w:p w14:paraId="137436FC" w14:textId="30E0C90E" w:rsidR="00B70141" w:rsidRPr="00B70141" w:rsidRDefault="00B70141" w:rsidP="00B7014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B70141">
        <w:rPr>
          <w:rFonts w:ascii="Aptos" w:hAnsi="Aptos" w:cs="Aparajita"/>
          <w:b/>
          <w:bCs/>
          <w:sz w:val="24"/>
          <w:szCs w:val="24"/>
          <w:lang w:val="en-US"/>
        </w:rPr>
        <w:t>“Good Way to Incent Workforce Housing?” — Best-Practice Stack</w:t>
      </w:r>
    </w:p>
    <w:p w14:paraId="6C6E26A1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Use AWHP as the capstone, not the only tool: combine with by-right density near jobs, permit streamlining, and impact-fee adjustments to reduce the size and length of grants required.¹</w:t>
      </w:r>
    </w:p>
    <w:p w14:paraId="58CCDA75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Target 60–80% AMI for singles/couples in public safety/education roles, with a floor share at 50–60% AMI to catch entry-level earners.² ⁶</w:t>
      </w:r>
    </w:p>
    <w:p w14:paraId="45E5B0F7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Prioritize 1–2BR units near employment nodes; selectively include 3BR where the data show family demand.</w:t>
      </w:r>
    </w:p>
    <w:p w14:paraId="17C2D43E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Time-box extensions (Year 16–30) to reinvestment milestones and re-underwriting to “minimum necessary.”</w:t>
      </w:r>
    </w:p>
    <w:p w14:paraId="28550034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lastRenderedPageBreak/>
        <w:pict w14:anchorId="5850F58D">
          <v:rect id="_x0000_i1108" style="width:0;height:1.5pt" o:hralign="center" o:hrstd="t" o:hr="t" fillcolor="#a0a0a0" stroked="f"/>
        </w:pict>
      </w:r>
    </w:p>
    <w:p w14:paraId="130757B8" w14:textId="77777777" w:rsidR="00B70141" w:rsidRDefault="00B70141" w:rsidP="00B7014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</w:p>
    <w:p w14:paraId="5FF58EC6" w14:textId="71E9023A" w:rsidR="00B70141" w:rsidRPr="00B70141" w:rsidRDefault="00B70141" w:rsidP="00B7014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B70141">
        <w:rPr>
          <w:rFonts w:ascii="Aptos" w:hAnsi="Aptos" w:cs="Aparajita"/>
          <w:b/>
          <w:bCs/>
          <w:sz w:val="24"/>
          <w:szCs w:val="24"/>
          <w:lang w:val="en-US"/>
        </w:rPr>
        <w:t>Sustainability — Governance Patterns That Work</w:t>
      </w:r>
    </w:p>
    <w:p w14:paraId="6A73317F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Budget guardrails: hard cap on annual aggregate rebates and a per-project ceiling; anything above requires council super-majority.¹</w:t>
      </w:r>
    </w:p>
    <w:p w14:paraId="603EC0BB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Step-down curves: e.g., 100% → 75% → 50% over the term to reintroduce tax base sooner while preserving feasibility.</w:t>
      </w:r>
    </w:p>
    <w:p w14:paraId="6274BFD7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Public dashboard: annual “AWHP Scorecard” (units, compliance, rebate totals, per-unit public cost).¹</w:t>
      </w:r>
    </w:p>
    <w:p w14:paraId="33F08940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Independent verification: third-party compliance checks; public posting of audits and any claw-backs.</w:t>
      </w:r>
    </w:p>
    <w:p w14:paraId="2DCE368A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Sunset discipline: all renewals require a fresh “minimum-necessary” gap test; no automatic 30-year grants.¹ ²</w:t>
      </w:r>
    </w:p>
    <w:p w14:paraId="5B0F2140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pict w14:anchorId="34E9007C">
          <v:rect id="_x0000_i1109" style="width:0;height:1.5pt" o:hralign="center" o:hrstd="t" o:hr="t" fillcolor="#a0a0a0" stroked="f"/>
        </w:pict>
      </w:r>
    </w:p>
    <w:p w14:paraId="3A503F1D" w14:textId="77777777" w:rsidR="00B70141" w:rsidRDefault="00B70141" w:rsidP="00B7014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</w:p>
    <w:p w14:paraId="6E7B7B46" w14:textId="1BBCF002" w:rsidR="00B70141" w:rsidRPr="00B70141" w:rsidRDefault="00B70141" w:rsidP="00B7014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B70141">
        <w:rPr>
          <w:rFonts w:ascii="Aptos" w:hAnsi="Aptos" w:cs="Aparajita"/>
          <w:b/>
          <w:bCs/>
          <w:sz w:val="24"/>
          <w:szCs w:val="24"/>
          <w:lang w:val="en-US"/>
        </w:rPr>
        <w:t>Practical Options for Council/VBDA (Multiple Pathways)</w:t>
      </w:r>
    </w:p>
    <w:p w14:paraId="12352345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Adopt caps + scorecard now and proceed with a limited initial portfolio; expand only if KPIs meet thresholds.¹</w:t>
      </w:r>
    </w:p>
    <w:p w14:paraId="1B96C4D7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Pilot step-down rebates to speed tax-base participation without killing feasibility.</w:t>
      </w:r>
    </w:p>
    <w:p w14:paraId="020A3D7B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Pair AWHP with land-use fixes (density, parking, by-right near transit) to reduce required rebate sizes.¹</w:t>
      </w:r>
    </w:p>
    <w:p w14:paraId="5DE55533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Create a “workforce targeting matrix” by district (police/fire/teachers/public works headcounts vs. unit types needed) to align awards with real demand.²</w:t>
      </w:r>
    </w:p>
    <w:p w14:paraId="4202643D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Establish a mid-term audit (Year 7–8) to recalibrate terms based on actual lease-up, rent levels, and taxpayer impact.</w:t>
      </w:r>
    </w:p>
    <w:p w14:paraId="70CC596A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pict w14:anchorId="69C45BDA">
          <v:rect id="_x0000_i1110" style="width:0;height:1.5pt" o:hralign="center" o:hrstd="t" o:hr="t" fillcolor="#a0a0a0" stroked="f"/>
        </w:pict>
      </w:r>
    </w:p>
    <w:p w14:paraId="05E919F3" w14:textId="77777777" w:rsidR="00B70141" w:rsidRDefault="00B70141" w:rsidP="00B7014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</w:p>
    <w:p w14:paraId="6A8F2EDE" w14:textId="339212D4" w:rsidR="00B70141" w:rsidRPr="00B70141" w:rsidRDefault="00B70141" w:rsidP="00B7014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B70141">
        <w:rPr>
          <w:rFonts w:ascii="Aptos" w:hAnsi="Aptos" w:cs="Aparajita"/>
          <w:b/>
          <w:bCs/>
          <w:sz w:val="24"/>
          <w:szCs w:val="24"/>
          <w:lang w:val="en-US"/>
        </w:rPr>
        <w:t>Final Take</w:t>
      </w:r>
    </w:p>
    <w:p w14:paraId="1205E221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AWHP can be a high-leverage, fiscally responsible tool—if the City treats it like an accountable investment, not an entitlement.</w:t>
      </w:r>
    </w:p>
    <w:p w14:paraId="06C0B98C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For taxpayers, the deal pencils when the City caps exposure, publishes a clear ROI ledger, and ensures units genuinely serve workforce bands.</w:t>
      </w:r>
    </w:p>
    <w:p w14:paraId="2A9AF41F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It is sustainable when rebates are time-limited, stepped down, and re-underwritten—and when paired with zoning/approval reforms that lower costs without permanent revenue deferral.</w:t>
      </w:r>
    </w:p>
    <w:p w14:paraId="15940EF3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pict w14:anchorId="2D04ACFD">
          <v:rect id="_x0000_i1111" style="width:0;height:1.5pt" o:hralign="center" o:hrstd="t" o:hr="t" fillcolor="#a0a0a0" stroked="f"/>
        </w:pict>
      </w:r>
    </w:p>
    <w:p w14:paraId="6C0E30E7" w14:textId="77777777" w:rsidR="00B70141" w:rsidRPr="00B70141" w:rsidRDefault="00B70141" w:rsidP="00B70141">
      <w:pPr>
        <w:spacing w:after="0" w:line="240" w:lineRule="auto"/>
        <w:rPr>
          <w:rFonts w:ascii="Aptos" w:hAnsi="Aptos" w:cs="Aparajita"/>
          <w:b/>
          <w:bCs/>
          <w:sz w:val="24"/>
          <w:szCs w:val="24"/>
          <w:lang w:val="en-US"/>
        </w:rPr>
      </w:pPr>
      <w:r w:rsidRPr="00B70141">
        <w:rPr>
          <w:rFonts w:ascii="Aptos" w:hAnsi="Aptos" w:cs="Aparajita"/>
          <w:b/>
          <w:bCs/>
          <w:sz w:val="24"/>
          <w:szCs w:val="24"/>
          <w:lang w:val="en-US"/>
        </w:rPr>
        <w:t>Sources (footnotes)</w:t>
      </w:r>
    </w:p>
    <w:p w14:paraId="777709B2" w14:textId="77777777" w:rsidR="00B70141" w:rsidRPr="00B70141" w:rsidRDefault="00B70141" w:rsidP="00B70141">
      <w:pPr>
        <w:numPr>
          <w:ilvl w:val="0"/>
          <w:numId w:val="22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City of Virginia Beach — “City Launches Program to Promote Development of Affordable Rental Housing” (program announcement &amp; structure), Sept. 24, 2025.</w:t>
      </w:r>
    </w:p>
    <w:p w14:paraId="2CBBF491" w14:textId="77777777" w:rsidR="00B70141" w:rsidRPr="00B70141" w:rsidRDefault="00B70141" w:rsidP="00B70141">
      <w:pPr>
        <w:numPr>
          <w:ilvl w:val="0"/>
          <w:numId w:val="22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lastRenderedPageBreak/>
        <w:t xml:space="preserve">City of Virginia Beach — </w:t>
      </w:r>
      <w:r w:rsidRPr="00B70141">
        <w:rPr>
          <w:rFonts w:ascii="Aptos" w:hAnsi="Aptos" w:cs="Aparajita"/>
          <w:i/>
          <w:iCs/>
          <w:sz w:val="24"/>
          <w:szCs w:val="24"/>
          <w:lang w:val="en-US"/>
        </w:rPr>
        <w:t>Attainable Workforce Housing Performance Grant: program overview/policy</w:t>
      </w:r>
      <w:r w:rsidRPr="00B70141">
        <w:rPr>
          <w:rFonts w:ascii="Aptos" w:hAnsi="Aptos" w:cs="Aparajita"/>
          <w:sz w:val="24"/>
          <w:szCs w:val="24"/>
          <w:lang w:val="en-US"/>
        </w:rPr>
        <w:t xml:space="preserve"> (VBDA site).</w:t>
      </w:r>
    </w:p>
    <w:p w14:paraId="41A21EBD" w14:textId="77777777" w:rsidR="00B70141" w:rsidRPr="00B70141" w:rsidRDefault="00B70141" w:rsidP="00B70141">
      <w:pPr>
        <w:numPr>
          <w:ilvl w:val="0"/>
          <w:numId w:val="22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 xml:space="preserve">National Multifamily Housing Council (NMHC) — </w:t>
      </w:r>
      <w:r w:rsidRPr="00B70141">
        <w:rPr>
          <w:rFonts w:ascii="Aptos" w:hAnsi="Aptos" w:cs="Aparajita"/>
          <w:i/>
          <w:iCs/>
          <w:sz w:val="24"/>
          <w:szCs w:val="24"/>
          <w:lang w:val="en-US"/>
        </w:rPr>
        <w:t>RCLCO Research Brief</w:t>
      </w:r>
      <w:r w:rsidRPr="00B70141">
        <w:rPr>
          <w:rFonts w:ascii="Aptos" w:hAnsi="Aptos" w:cs="Aparajita"/>
          <w:sz w:val="24"/>
          <w:szCs w:val="24"/>
          <w:lang w:val="en-US"/>
        </w:rPr>
        <w:t>: tax-based incentives can reduce shortages and yield ROI when structured effectively; cautions on budget timing. Feb. 20, 2025.</w:t>
      </w:r>
    </w:p>
    <w:p w14:paraId="03821E1E" w14:textId="77777777" w:rsidR="00B70141" w:rsidRPr="00B70141" w:rsidRDefault="00B70141" w:rsidP="00B70141">
      <w:pPr>
        <w:numPr>
          <w:ilvl w:val="0"/>
          <w:numId w:val="22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 xml:space="preserve">City of Richmond / Richmond EDA — </w:t>
      </w:r>
      <w:r w:rsidRPr="00B70141">
        <w:rPr>
          <w:rFonts w:ascii="Aptos" w:hAnsi="Aptos" w:cs="Aparajita"/>
          <w:i/>
          <w:iCs/>
          <w:sz w:val="24"/>
          <w:szCs w:val="24"/>
          <w:lang w:val="en-US"/>
        </w:rPr>
        <w:t>Affordable Housing Performance Grants</w:t>
      </w:r>
      <w:r w:rsidRPr="00B70141">
        <w:rPr>
          <w:rFonts w:ascii="Aptos" w:hAnsi="Aptos" w:cs="Aparajita"/>
          <w:sz w:val="24"/>
          <w:szCs w:val="24"/>
          <w:lang w:val="en-US"/>
        </w:rPr>
        <w:t>: 15-year rebates with potential 15-year extension; gap-financing and compliance requirements. May 2024 packet + program page.</w:t>
      </w:r>
    </w:p>
    <w:p w14:paraId="31CA1621" w14:textId="77777777" w:rsidR="00B70141" w:rsidRPr="00B70141" w:rsidRDefault="00B70141" w:rsidP="00B70141">
      <w:pPr>
        <w:numPr>
          <w:ilvl w:val="0"/>
          <w:numId w:val="22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Novogradac — FY2025 MTSP Income Limits (HUD): VB-Norfolk-Newport News MFI $106,500 (4-person). Apr. 1, 2025.</w:t>
      </w:r>
    </w:p>
    <w:p w14:paraId="30BFB06E" w14:textId="77777777" w:rsidR="00B70141" w:rsidRPr="00B70141" w:rsidRDefault="00B70141" w:rsidP="00B70141">
      <w:pPr>
        <w:numPr>
          <w:ilvl w:val="0"/>
          <w:numId w:val="22"/>
        </w:numPr>
        <w:spacing w:after="0" w:line="240" w:lineRule="auto"/>
        <w:rPr>
          <w:rFonts w:ascii="Aptos" w:hAnsi="Aptos" w:cs="Aparajita"/>
          <w:sz w:val="24"/>
          <w:szCs w:val="24"/>
          <w:lang w:val="en-US"/>
        </w:rPr>
      </w:pPr>
      <w:r w:rsidRPr="00B70141">
        <w:rPr>
          <w:rFonts w:ascii="Aptos" w:hAnsi="Aptos" w:cs="Aparajita"/>
          <w:sz w:val="24"/>
          <w:szCs w:val="24"/>
          <w:lang w:val="en-US"/>
        </w:rPr>
        <w:t>HUD User — FY2025 HOME Income Limits (VB-Norfolk-Newport News): 50/60/80% AMI thresholds by household size. Jun. 1, 2025.</w:t>
      </w:r>
    </w:p>
    <w:p w14:paraId="310A2F21" w14:textId="77777777" w:rsidR="00C552FF" w:rsidRPr="00C93B11" w:rsidRDefault="00C552FF" w:rsidP="00C93B11">
      <w:pPr>
        <w:spacing w:after="0" w:line="240" w:lineRule="auto"/>
        <w:rPr>
          <w:rFonts w:ascii="Aptos" w:hAnsi="Aptos" w:cs="Aparajita"/>
          <w:sz w:val="24"/>
          <w:szCs w:val="24"/>
        </w:rPr>
      </w:pPr>
    </w:p>
    <w:sectPr w:rsidR="00C552FF" w:rsidRPr="00C93B1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576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D3A10" w14:textId="77777777" w:rsidR="00A06532" w:rsidRDefault="00A06532">
      <w:pPr>
        <w:spacing w:after="0" w:line="240" w:lineRule="auto"/>
      </w:pPr>
      <w:r>
        <w:separator/>
      </w:r>
    </w:p>
  </w:endnote>
  <w:endnote w:type="continuationSeparator" w:id="0">
    <w:p w14:paraId="51761DDB" w14:textId="77777777" w:rsidR="00A06532" w:rsidRDefault="00A065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arajita"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0F381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03B56" w14:textId="1609ACFC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65C4A">
      <w:rPr>
        <w:noProof/>
        <w:color w:val="000000"/>
      </w:rPr>
      <w:t>2</w:t>
    </w:r>
    <w:r>
      <w:rPr>
        <w:color w:val="000000"/>
      </w:rPr>
      <w:fldChar w:fldCharType="end"/>
    </w:r>
  </w:p>
  <w:p w14:paraId="15514C3A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37B30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8EA522" w14:textId="77777777" w:rsidR="00A06532" w:rsidRDefault="00A06532">
      <w:pPr>
        <w:spacing w:after="0" w:line="240" w:lineRule="auto"/>
      </w:pPr>
      <w:r>
        <w:separator/>
      </w:r>
    </w:p>
  </w:footnote>
  <w:footnote w:type="continuationSeparator" w:id="0">
    <w:p w14:paraId="7C746592" w14:textId="77777777" w:rsidR="00A06532" w:rsidRDefault="00A065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9707A6" w14:textId="77777777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firstLine="3600"/>
      <w:rPr>
        <w:color w:val="000000"/>
        <w:sz w:val="56"/>
        <w:szCs w:val="56"/>
      </w:rPr>
    </w:pPr>
    <w:r>
      <w:rPr>
        <w:noProof/>
      </w:rPr>
      <w:drawing>
        <wp:anchor distT="0" distB="0" distL="0" distR="0" simplePos="0" relativeHeight="251660288" behindDoc="1" locked="0" layoutInCell="1" hidden="0" allowOverlap="1" wp14:anchorId="20D4C406" wp14:editId="1D70E197">
          <wp:simplePos x="0" y="0"/>
          <wp:positionH relativeFrom="column">
            <wp:posOffset>-257173</wp:posOffset>
          </wp:positionH>
          <wp:positionV relativeFrom="paragraph">
            <wp:posOffset>-137158</wp:posOffset>
          </wp:positionV>
          <wp:extent cx="1995170" cy="2095500"/>
          <wp:effectExtent l="0" t="0" r="0" b="0"/>
          <wp:wrapNone/>
          <wp:docPr id="950375149" name="image1.jpg" descr="A person in a suit and tie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 descr="A person in a suit and tie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95170" cy="2095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D0D443F" w14:textId="77777777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ind w:firstLine="3600"/>
      <w:rPr>
        <w:color w:val="000000"/>
        <w:sz w:val="56"/>
        <w:szCs w:val="56"/>
      </w:rPr>
    </w:pPr>
    <w:r>
      <w:rPr>
        <w:color w:val="000000"/>
        <w:sz w:val="56"/>
        <w:szCs w:val="56"/>
      </w:rPr>
      <w:t>Robert M. “Bobby” Dyer</w:t>
    </w:r>
  </w:p>
  <w:p w14:paraId="70FFEFAA" w14:textId="77777777" w:rsidR="008E2BE7" w:rsidRDefault="008E2BE7">
    <w:pPr>
      <w:spacing w:after="0" w:line="240" w:lineRule="auto"/>
      <w:ind w:left="3600"/>
      <w:rPr>
        <w:rFonts w:ascii="Aptos" w:eastAsia="Aptos" w:hAnsi="Aptos" w:cs="Aptos"/>
      </w:rPr>
    </w:pPr>
  </w:p>
  <w:p w14:paraId="259A313D" w14:textId="77777777" w:rsidR="008E2BE7" w:rsidRDefault="00F15181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Website: [website]</w:t>
    </w:r>
  </w:p>
  <w:p w14:paraId="275FBAF7" w14:textId="77777777" w:rsidR="008E2BE7" w:rsidRDefault="00F15181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Email: [Contact Email]</w:t>
    </w:r>
  </w:p>
  <w:p w14:paraId="1E946C5A" w14:textId="77777777" w:rsidR="008E2BE7" w:rsidRDefault="00F15181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Phone: [Contact Number]</w:t>
    </w:r>
  </w:p>
  <w:p w14:paraId="3F0D6B46" w14:textId="77777777" w:rsidR="008E2BE7" w:rsidRDefault="00F15181">
    <w:pPr>
      <w:spacing w:after="0" w:line="240" w:lineRule="auto"/>
      <w:ind w:left="3600"/>
      <w:rPr>
        <w:rFonts w:ascii="Aptos" w:eastAsia="Aptos" w:hAnsi="Aptos" w:cs="Aptos"/>
      </w:rPr>
    </w:pPr>
    <w:r>
      <w:rPr>
        <w:rFonts w:ascii="Aptos" w:eastAsia="Aptos" w:hAnsi="Aptos" w:cs="Aptos"/>
      </w:rPr>
      <w:t>Candidate Social Media: [Handles for platforms like Facebook, Twitter, Instagram]</w:t>
    </w:r>
  </w:p>
  <w:p w14:paraId="00D92736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  <w:p w14:paraId="25C200BC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545B1" w14:textId="77777777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36"/>
        <w:szCs w:val="36"/>
      </w:rPr>
    </w:pPr>
    <w:r>
      <w:rPr>
        <w:b/>
        <w:color w:val="000000"/>
        <w:sz w:val="36"/>
        <w:szCs w:val="36"/>
      </w:rPr>
      <w:t>Virginia Beach Council of Civic Organizations</w:t>
    </w:r>
    <w:r>
      <w:rPr>
        <w:noProof/>
      </w:rPr>
      <w:drawing>
        <wp:anchor distT="0" distB="0" distL="114300" distR="114300" simplePos="0" relativeHeight="251658240" behindDoc="0" locked="0" layoutInCell="1" hidden="0" allowOverlap="1" wp14:anchorId="0E8B154E" wp14:editId="08BD14B3">
          <wp:simplePos x="0" y="0"/>
          <wp:positionH relativeFrom="column">
            <wp:posOffset>-619123</wp:posOffset>
          </wp:positionH>
          <wp:positionV relativeFrom="paragraph">
            <wp:posOffset>-123823</wp:posOffset>
          </wp:positionV>
          <wp:extent cx="1095375" cy="1040130"/>
          <wp:effectExtent l="0" t="0" r="0" b="0"/>
          <wp:wrapSquare wrapText="bothSides" distT="0" distB="0" distL="114300" distR="114300"/>
          <wp:docPr id="950375148" name="image2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95375" cy="1040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70F8302" w14:textId="77777777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Helping Civic Organizations Remain Educated for 66 years</w:t>
    </w:r>
  </w:p>
  <w:p w14:paraId="5921D4F1" w14:textId="77777777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Post Office Box 9252</w:t>
    </w:r>
  </w:p>
  <w:p w14:paraId="01F30D01" w14:textId="77777777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Virginia Beach, VA 23450-9252</w:t>
    </w:r>
  </w:p>
  <w:p w14:paraId="64467E9B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FF"/>
        <w:u w:val="single"/>
      </w:rPr>
    </w:pPr>
    <w:hyperlink r:id="rId2">
      <w:r>
        <w:rPr>
          <w:color w:val="0000FF"/>
          <w:u w:val="single"/>
        </w:rPr>
        <w:t>www.vbcco.org</w:t>
      </w:r>
    </w:hyperlink>
  </w:p>
  <w:p w14:paraId="7F73F6B2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61D76" w14:textId="2D58FDED" w:rsidR="008E2BE7" w:rsidRDefault="008451B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36"/>
        <w:szCs w:val="36"/>
      </w:rPr>
    </w:pPr>
    <w:r>
      <w:rPr>
        <w:noProof/>
      </w:rPr>
      <w:drawing>
        <wp:anchor distT="0" distB="0" distL="114300" distR="114300" simplePos="0" relativeHeight="251659264" behindDoc="1" locked="0" layoutInCell="1" hidden="0" allowOverlap="1" wp14:anchorId="58CFD5D1" wp14:editId="5A7B4452">
          <wp:simplePos x="0" y="0"/>
          <wp:positionH relativeFrom="column">
            <wp:posOffset>-352425</wp:posOffset>
          </wp:positionH>
          <wp:positionV relativeFrom="paragraph">
            <wp:posOffset>-247650</wp:posOffset>
          </wp:positionV>
          <wp:extent cx="1228725" cy="1233170"/>
          <wp:effectExtent l="0" t="0" r="9525" b="5080"/>
          <wp:wrapNone/>
          <wp:docPr id="950375147" name="image2.png" descr="Logo&#10;&#10;Description automatically generated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Logo&#10;&#10;Description automatically generated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8725" cy="123317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F15181">
      <w:rPr>
        <w:b/>
        <w:color w:val="000000"/>
        <w:sz w:val="36"/>
        <w:szCs w:val="36"/>
      </w:rPr>
      <w:t>Virginia Beach Council of Civic Organizations</w:t>
    </w:r>
  </w:p>
  <w:p w14:paraId="0364E727" w14:textId="465071AC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Helping Civic Organizations Remain Educated for 6</w:t>
    </w:r>
    <w:r w:rsidR="00E56E44">
      <w:rPr>
        <w:color w:val="000000"/>
      </w:rPr>
      <w:t>6</w:t>
    </w:r>
    <w:r>
      <w:rPr>
        <w:color w:val="000000"/>
      </w:rPr>
      <w:t xml:space="preserve"> years</w:t>
    </w:r>
  </w:p>
  <w:p w14:paraId="510467E2" w14:textId="77777777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Post Office Box 9252</w:t>
    </w:r>
  </w:p>
  <w:p w14:paraId="31122317" w14:textId="77777777" w:rsidR="008E2BE7" w:rsidRDefault="00F15181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t>Virginia Beach, VA 23450-9252</w:t>
    </w:r>
  </w:p>
  <w:p w14:paraId="1FD908F7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FF"/>
        <w:u w:val="single"/>
      </w:rPr>
    </w:pPr>
    <w:hyperlink r:id="rId2">
      <w:r>
        <w:rPr>
          <w:color w:val="0000FF"/>
          <w:u w:val="single"/>
        </w:rPr>
        <w:t>www.vbcco.org</w:t>
      </w:r>
    </w:hyperlink>
  </w:p>
  <w:p w14:paraId="6439BCE0" w14:textId="77777777" w:rsidR="008E2BE7" w:rsidRDefault="008E2BE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84B61"/>
    <w:multiLevelType w:val="multilevel"/>
    <w:tmpl w:val="35880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F63719"/>
    <w:multiLevelType w:val="multilevel"/>
    <w:tmpl w:val="016A8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AE3241"/>
    <w:multiLevelType w:val="multilevel"/>
    <w:tmpl w:val="3E582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9D744B"/>
    <w:multiLevelType w:val="multilevel"/>
    <w:tmpl w:val="53BA7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391789"/>
    <w:multiLevelType w:val="multilevel"/>
    <w:tmpl w:val="1504B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05A5409"/>
    <w:multiLevelType w:val="multilevel"/>
    <w:tmpl w:val="45E82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E73116"/>
    <w:multiLevelType w:val="multilevel"/>
    <w:tmpl w:val="9DC050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45F054F"/>
    <w:multiLevelType w:val="multilevel"/>
    <w:tmpl w:val="CE4A9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B41EC5"/>
    <w:multiLevelType w:val="multilevel"/>
    <w:tmpl w:val="355427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A50380"/>
    <w:multiLevelType w:val="multilevel"/>
    <w:tmpl w:val="EC307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8460708"/>
    <w:multiLevelType w:val="multilevel"/>
    <w:tmpl w:val="F9D4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C3604C"/>
    <w:multiLevelType w:val="hybridMultilevel"/>
    <w:tmpl w:val="3C8EA2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8F41DE"/>
    <w:multiLevelType w:val="multilevel"/>
    <w:tmpl w:val="3FC24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F72F7D"/>
    <w:multiLevelType w:val="multilevel"/>
    <w:tmpl w:val="0CE27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7F6717"/>
    <w:multiLevelType w:val="multilevel"/>
    <w:tmpl w:val="7A605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02C6D94"/>
    <w:multiLevelType w:val="multilevel"/>
    <w:tmpl w:val="1B608A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C522EB"/>
    <w:multiLevelType w:val="multilevel"/>
    <w:tmpl w:val="821AC4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C696023"/>
    <w:multiLevelType w:val="multilevel"/>
    <w:tmpl w:val="C9BA7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A233E0"/>
    <w:multiLevelType w:val="multilevel"/>
    <w:tmpl w:val="B952E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8B6BE0"/>
    <w:multiLevelType w:val="multilevel"/>
    <w:tmpl w:val="9B3A8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1BC7CA1"/>
    <w:multiLevelType w:val="multilevel"/>
    <w:tmpl w:val="08C4A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DA7645"/>
    <w:multiLevelType w:val="multilevel"/>
    <w:tmpl w:val="218AE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40880162">
    <w:abstractNumId w:val="17"/>
  </w:num>
  <w:num w:numId="2" w16cid:durableId="965308692">
    <w:abstractNumId w:val="8"/>
  </w:num>
  <w:num w:numId="3" w16cid:durableId="305823109">
    <w:abstractNumId w:val="19"/>
  </w:num>
  <w:num w:numId="4" w16cid:durableId="2079352897">
    <w:abstractNumId w:val="9"/>
  </w:num>
  <w:num w:numId="5" w16cid:durableId="1736855036">
    <w:abstractNumId w:val="15"/>
  </w:num>
  <w:num w:numId="6" w16cid:durableId="1533808250">
    <w:abstractNumId w:val="0"/>
  </w:num>
  <w:num w:numId="7" w16cid:durableId="1304120757">
    <w:abstractNumId w:val="1"/>
  </w:num>
  <w:num w:numId="8" w16cid:durableId="463278468">
    <w:abstractNumId w:val="7"/>
  </w:num>
  <w:num w:numId="9" w16cid:durableId="441609371">
    <w:abstractNumId w:val="10"/>
  </w:num>
  <w:num w:numId="10" w16cid:durableId="1572276101">
    <w:abstractNumId w:val="12"/>
  </w:num>
  <w:num w:numId="11" w16cid:durableId="1567106126">
    <w:abstractNumId w:val="5"/>
  </w:num>
  <w:num w:numId="12" w16cid:durableId="1862236847">
    <w:abstractNumId w:val="2"/>
  </w:num>
  <w:num w:numId="13" w16cid:durableId="288898285">
    <w:abstractNumId w:val="14"/>
  </w:num>
  <w:num w:numId="14" w16cid:durableId="1611275884">
    <w:abstractNumId w:val="3"/>
  </w:num>
  <w:num w:numId="15" w16cid:durableId="1244681781">
    <w:abstractNumId w:val="18"/>
  </w:num>
  <w:num w:numId="16" w16cid:durableId="1962301740">
    <w:abstractNumId w:val="21"/>
  </w:num>
  <w:num w:numId="17" w16cid:durableId="1380589021">
    <w:abstractNumId w:val="13"/>
  </w:num>
  <w:num w:numId="18" w16cid:durableId="1128553257">
    <w:abstractNumId w:val="16"/>
  </w:num>
  <w:num w:numId="19" w16cid:durableId="1656648044">
    <w:abstractNumId w:val="20"/>
  </w:num>
  <w:num w:numId="20" w16cid:durableId="2008824754">
    <w:abstractNumId w:val="4"/>
  </w:num>
  <w:num w:numId="21" w16cid:durableId="1325012176">
    <w:abstractNumId w:val="11"/>
  </w:num>
  <w:num w:numId="22" w16cid:durableId="16580749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BE7"/>
    <w:rsid w:val="00023642"/>
    <w:rsid w:val="0009441A"/>
    <w:rsid w:val="000F3168"/>
    <w:rsid w:val="00113D33"/>
    <w:rsid w:val="001E5EA1"/>
    <w:rsid w:val="003058B8"/>
    <w:rsid w:val="004517A9"/>
    <w:rsid w:val="00456E82"/>
    <w:rsid w:val="00465C4A"/>
    <w:rsid w:val="0051336B"/>
    <w:rsid w:val="00553DBF"/>
    <w:rsid w:val="00614749"/>
    <w:rsid w:val="006B237A"/>
    <w:rsid w:val="007513E4"/>
    <w:rsid w:val="00804D2B"/>
    <w:rsid w:val="008451B3"/>
    <w:rsid w:val="008E2BE7"/>
    <w:rsid w:val="008F2574"/>
    <w:rsid w:val="00906EEF"/>
    <w:rsid w:val="00986D9C"/>
    <w:rsid w:val="00A06532"/>
    <w:rsid w:val="00A867C5"/>
    <w:rsid w:val="00B70141"/>
    <w:rsid w:val="00BF2208"/>
    <w:rsid w:val="00C479A4"/>
    <w:rsid w:val="00C552FF"/>
    <w:rsid w:val="00C93B11"/>
    <w:rsid w:val="00CF1961"/>
    <w:rsid w:val="00D876AC"/>
    <w:rsid w:val="00DC55F7"/>
    <w:rsid w:val="00E24479"/>
    <w:rsid w:val="00E245ED"/>
    <w:rsid w:val="00E56E44"/>
    <w:rsid w:val="00E63B49"/>
    <w:rsid w:val="00F001C6"/>
    <w:rsid w:val="00F15181"/>
    <w:rsid w:val="00F33357"/>
    <w:rsid w:val="00FA38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C746BD"/>
  <w15:docId w15:val="{09713848-EE61-4AF3-98CB-C92BAAF34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spacing w:after="150" w:line="240" w:lineRule="auto"/>
      <w:outlineLvl w:val="1"/>
    </w:pPr>
    <w:rPr>
      <w:rFonts w:ascii="Georgia" w:eastAsia="Georgia" w:hAnsi="Georgia" w:cs="Georgia"/>
      <w:color w:val="125EE0"/>
      <w:sz w:val="30"/>
      <w:szCs w:val="3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spacing w:after="150" w:line="240" w:lineRule="auto"/>
      <w:outlineLvl w:val="2"/>
    </w:pPr>
    <w:rPr>
      <w:rFonts w:ascii="Georgia" w:eastAsia="Georgia" w:hAnsi="Georgia" w:cs="Georgia"/>
      <w:color w:val="707070"/>
      <w:sz w:val="23"/>
      <w:szCs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40" w:after="0"/>
      <w:outlineLvl w:val="3"/>
    </w:pPr>
    <w:rPr>
      <w:i/>
      <w:color w:val="2F549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after="0"/>
      <w:outlineLvl w:val="5"/>
    </w:pPr>
    <w:rPr>
      <w:color w:val="1F386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31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DBC"/>
  </w:style>
  <w:style w:type="paragraph" w:styleId="Footer">
    <w:name w:val="footer"/>
    <w:basedOn w:val="Normal"/>
    <w:link w:val="FooterChar"/>
    <w:uiPriority w:val="99"/>
    <w:unhideWhenUsed/>
    <w:rsid w:val="00631D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DBC"/>
  </w:style>
  <w:style w:type="paragraph" w:styleId="ListParagraph">
    <w:name w:val="List Paragraph"/>
    <w:basedOn w:val="Normal"/>
    <w:uiPriority w:val="34"/>
    <w:qFormat/>
    <w:rsid w:val="00631DBC"/>
    <w:pPr>
      <w:ind w:left="720"/>
      <w:contextualSpacing/>
    </w:pPr>
  </w:style>
  <w:style w:type="paragraph" w:customStyle="1" w:styleId="yiv4807686562msolistparagraph">
    <w:name w:val="yiv4807686562msolistparagraph"/>
    <w:basedOn w:val="Normal"/>
    <w:rsid w:val="00DD7D3D"/>
    <w:pPr>
      <w:spacing w:before="100" w:beforeAutospacing="1" w:after="100" w:afterAutospacing="1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C40C44"/>
    <w:rPr>
      <w:rFonts w:ascii="Georgia" w:hAnsi="Georgia" w:cs="Calibri"/>
      <w:color w:val="125EE0"/>
      <w:sz w:val="30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40C44"/>
    <w:rPr>
      <w:rFonts w:ascii="Georgia" w:hAnsi="Georgia" w:cs="Calibri"/>
      <w:color w:val="707070"/>
      <w:sz w:val="23"/>
      <w:szCs w:val="23"/>
    </w:rPr>
  </w:style>
  <w:style w:type="paragraph" w:customStyle="1" w:styleId="m-676343221007706635msolistparagraph">
    <w:name w:val="m_-676343221007706635msolistparagraph"/>
    <w:basedOn w:val="Normal"/>
    <w:rsid w:val="008A453A"/>
    <w:pPr>
      <w:spacing w:before="100" w:beforeAutospacing="1" w:after="100" w:afterAutospacing="1" w:line="240" w:lineRule="auto"/>
    </w:pPr>
  </w:style>
  <w:style w:type="character" w:styleId="Hyperlink">
    <w:name w:val="Hyperlink"/>
    <w:basedOn w:val="DefaultParagraphFont"/>
    <w:uiPriority w:val="99"/>
    <w:unhideWhenUsed/>
    <w:rsid w:val="00BA72E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560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12E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5562D8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43B01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1Char">
    <w:name w:val="Heading 1 Char"/>
    <w:basedOn w:val="DefaultParagraphFont"/>
    <w:link w:val="Heading1"/>
    <w:uiPriority w:val="9"/>
    <w:rsid w:val="008408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bcco.org" TargetMode="External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vbcco.org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w8ZBkcP2hEQvESdzWqEu0HeoGmw==">CgMxLjA4AHIhMWVlU1ZYRUFFX056UHNQVEJ3bjBlMm9Ya1lFNDRNelA0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10</Pages>
  <Words>2608</Words>
  <Characters>14869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Computer Networks, Inc.</Company>
  <LinksUpToDate>false</LinksUpToDate>
  <CharactersWithSpaces>17443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R. “Rick” Boyles</dc:creator>
  <cp:lastModifiedBy>James R. “Rick” Boyles</cp:lastModifiedBy>
  <cp:revision>3</cp:revision>
  <dcterms:created xsi:type="dcterms:W3CDTF">2025-10-21T11:35:00Z</dcterms:created>
  <dcterms:modified xsi:type="dcterms:W3CDTF">2025-10-21T12:05:00Z</dcterms:modified>
</cp:coreProperties>
</file>